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F166" w14:textId="77777777" w:rsidR="00A54DA2" w:rsidRDefault="00A54DA2" w:rsidP="00480FAE">
      <w:pPr>
        <w:spacing w:after="0" w:line="240" w:lineRule="auto"/>
        <w:rPr>
          <w:rFonts w:ascii="Arial" w:hAnsi="Arial" w:cs="Arial"/>
          <w:b/>
          <w:sz w:val="28"/>
          <w:szCs w:val="28"/>
        </w:rPr>
      </w:pPr>
      <w:bookmarkStart w:id="0" w:name="_GoBack"/>
      <w:bookmarkEnd w:id="0"/>
    </w:p>
    <w:p w14:paraId="5C66ACF8" w14:textId="77777777" w:rsidR="00A54DA2" w:rsidRDefault="001C0B6F" w:rsidP="00A54DA2">
      <w:pPr>
        <w:spacing w:after="0" w:line="240" w:lineRule="auto"/>
        <w:jc w:val="right"/>
        <w:rPr>
          <w:rFonts w:ascii="Arial" w:hAnsi="Arial" w:cs="Arial"/>
          <w:b/>
          <w:sz w:val="28"/>
          <w:szCs w:val="28"/>
        </w:rPr>
      </w:pPr>
      <w:r w:rsidRPr="001C0B6F">
        <w:rPr>
          <w:rFonts w:cs="Arial"/>
          <w:b/>
          <w:noProof/>
          <w:sz w:val="32"/>
          <w:lang w:eastAsia="en-GB"/>
        </w:rPr>
        <w:drawing>
          <wp:inline distT="0" distB="0" distL="0" distR="0" wp14:anchorId="23D2040F" wp14:editId="4AF276CF">
            <wp:extent cx="2476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628650"/>
                    </a:xfrm>
                    <a:prstGeom prst="rect">
                      <a:avLst/>
                    </a:prstGeom>
                    <a:noFill/>
                    <a:ln>
                      <a:noFill/>
                    </a:ln>
                  </pic:spPr>
                </pic:pic>
              </a:graphicData>
            </a:graphic>
          </wp:inline>
        </w:drawing>
      </w:r>
    </w:p>
    <w:p w14:paraId="6A069AE8" w14:textId="77777777" w:rsidR="00A54DA2" w:rsidRDefault="00A54DA2" w:rsidP="00480FAE">
      <w:pPr>
        <w:spacing w:after="0" w:line="240" w:lineRule="auto"/>
        <w:rPr>
          <w:rFonts w:ascii="Arial" w:hAnsi="Arial" w:cs="Arial"/>
          <w:b/>
          <w:sz w:val="28"/>
          <w:szCs w:val="28"/>
        </w:rPr>
      </w:pPr>
    </w:p>
    <w:p w14:paraId="1A7196F1" w14:textId="77777777"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 xml:space="preserve">Trustees’ Annual Report for </w:t>
      </w:r>
      <w:r w:rsidR="002D5F4F">
        <w:rPr>
          <w:rFonts w:ascii="Arial" w:hAnsi="Arial" w:cs="Arial"/>
          <w:b/>
          <w:sz w:val="28"/>
          <w:szCs w:val="28"/>
        </w:rPr>
        <w:t xml:space="preserve">Pitstone Parish Charity for </w:t>
      </w:r>
      <w:r w:rsidRPr="00E063C0">
        <w:rPr>
          <w:rFonts w:ascii="Arial" w:hAnsi="Arial" w:cs="Arial"/>
          <w:b/>
          <w:sz w:val="28"/>
          <w:szCs w:val="28"/>
        </w:rPr>
        <w:t>the period</w:t>
      </w:r>
      <w:r w:rsidR="002D5F4F">
        <w:rPr>
          <w:rFonts w:ascii="Arial" w:hAnsi="Arial" w:cs="Arial"/>
          <w:b/>
          <w:sz w:val="28"/>
          <w:szCs w:val="28"/>
        </w:rPr>
        <w:t>:</w:t>
      </w:r>
    </w:p>
    <w:p w14:paraId="12B85B2B" w14:textId="77777777" w:rsidR="00A8188A" w:rsidRDefault="00A8188A" w:rsidP="00480FAE">
      <w:pPr>
        <w:spacing w:after="0" w:line="240" w:lineRule="auto"/>
        <w:rPr>
          <w:rFonts w:ascii="Arial" w:hAnsi="Arial" w:cs="Arial"/>
          <w:b/>
          <w:sz w:val="24"/>
          <w:szCs w:val="24"/>
        </w:rPr>
      </w:pPr>
    </w:p>
    <w:p w14:paraId="458E3C44" w14:textId="77777777" w:rsidR="005E43D8" w:rsidRPr="002D5F4F" w:rsidRDefault="00C90E2F" w:rsidP="00480FAE">
      <w:pPr>
        <w:spacing w:after="0" w:line="240" w:lineRule="auto"/>
        <w:rPr>
          <w:rFonts w:ascii="Arial" w:hAnsi="Arial" w:cs="Arial"/>
          <w:sz w:val="24"/>
          <w:szCs w:val="24"/>
        </w:rPr>
      </w:pPr>
      <w:r w:rsidRPr="002D5F4F">
        <w:rPr>
          <w:rFonts w:ascii="Arial" w:hAnsi="Arial" w:cs="Arial"/>
          <w:sz w:val="24"/>
          <w:szCs w:val="24"/>
        </w:rPr>
        <w:t xml:space="preserve">From </w:t>
      </w:r>
      <w:r w:rsidRPr="002D5F4F">
        <w:rPr>
          <w:rFonts w:ascii="Arial" w:hAnsi="Arial" w:cs="Arial"/>
          <w:sz w:val="24"/>
          <w:szCs w:val="24"/>
        </w:rPr>
        <w:tab/>
      </w:r>
      <w:r w:rsidR="00253D1E" w:rsidRPr="002D5F4F">
        <w:rPr>
          <w:rFonts w:ascii="Arial" w:hAnsi="Arial" w:cs="Arial"/>
          <w:sz w:val="24"/>
          <w:szCs w:val="24"/>
        </w:rPr>
        <w:t>1-4-1</w:t>
      </w:r>
      <w:r w:rsidR="002D5F4F" w:rsidRPr="002D5F4F">
        <w:rPr>
          <w:rFonts w:ascii="Arial" w:hAnsi="Arial" w:cs="Arial"/>
          <w:sz w:val="24"/>
          <w:szCs w:val="24"/>
        </w:rPr>
        <w:t>8</w:t>
      </w:r>
      <w:r w:rsidR="00F56F72" w:rsidRPr="002D5F4F">
        <w:rPr>
          <w:rFonts w:ascii="Arial" w:hAnsi="Arial" w:cs="Arial"/>
          <w:sz w:val="24"/>
          <w:szCs w:val="24"/>
        </w:rPr>
        <w:t xml:space="preserve">     </w:t>
      </w:r>
      <w:r w:rsidR="00A04672" w:rsidRPr="002D5F4F">
        <w:rPr>
          <w:rFonts w:ascii="Arial" w:hAnsi="Arial" w:cs="Arial"/>
          <w:sz w:val="24"/>
          <w:szCs w:val="24"/>
        </w:rPr>
        <w:t>(</w:t>
      </w:r>
      <w:r w:rsidRPr="002D5F4F">
        <w:rPr>
          <w:rFonts w:ascii="Arial" w:hAnsi="Arial" w:cs="Arial"/>
          <w:sz w:val="24"/>
          <w:szCs w:val="24"/>
        </w:rPr>
        <w:t>Period start date</w:t>
      </w:r>
      <w:r w:rsidR="00A04672" w:rsidRPr="002D5F4F">
        <w:rPr>
          <w:rFonts w:ascii="Arial" w:hAnsi="Arial" w:cs="Arial"/>
          <w:sz w:val="24"/>
          <w:szCs w:val="24"/>
        </w:rPr>
        <w:t>)</w:t>
      </w:r>
      <w:r w:rsidR="00F56F72" w:rsidRPr="002D5F4F">
        <w:rPr>
          <w:rFonts w:ascii="Arial" w:hAnsi="Arial" w:cs="Arial"/>
          <w:sz w:val="24"/>
          <w:szCs w:val="24"/>
        </w:rPr>
        <w:t xml:space="preserve">   </w:t>
      </w:r>
      <w:r w:rsidRPr="002D5F4F">
        <w:rPr>
          <w:rFonts w:ascii="Arial" w:hAnsi="Arial" w:cs="Arial"/>
          <w:sz w:val="24"/>
          <w:szCs w:val="24"/>
        </w:rPr>
        <w:t>To</w:t>
      </w:r>
      <w:r w:rsidRPr="002D5F4F">
        <w:rPr>
          <w:rFonts w:ascii="Arial" w:hAnsi="Arial" w:cs="Arial"/>
          <w:sz w:val="24"/>
          <w:szCs w:val="24"/>
        </w:rPr>
        <w:tab/>
      </w:r>
      <w:r w:rsidR="00F56F72" w:rsidRPr="002D5F4F">
        <w:rPr>
          <w:rFonts w:ascii="Arial" w:hAnsi="Arial" w:cs="Arial"/>
          <w:sz w:val="24"/>
          <w:szCs w:val="24"/>
        </w:rPr>
        <w:t xml:space="preserve">   </w:t>
      </w:r>
      <w:r w:rsidR="00253D1E" w:rsidRPr="002D5F4F">
        <w:rPr>
          <w:rFonts w:ascii="Arial" w:hAnsi="Arial" w:cs="Arial"/>
          <w:sz w:val="24"/>
          <w:szCs w:val="24"/>
        </w:rPr>
        <w:t>31-3-1</w:t>
      </w:r>
      <w:r w:rsidR="002D5F4F" w:rsidRPr="002D5F4F">
        <w:rPr>
          <w:rFonts w:ascii="Arial" w:hAnsi="Arial" w:cs="Arial"/>
          <w:sz w:val="24"/>
          <w:szCs w:val="24"/>
        </w:rPr>
        <w:t>9</w:t>
      </w:r>
      <w:r w:rsidR="00F56F72" w:rsidRPr="002D5F4F">
        <w:rPr>
          <w:rFonts w:ascii="Arial" w:hAnsi="Arial" w:cs="Arial"/>
          <w:sz w:val="24"/>
          <w:szCs w:val="24"/>
        </w:rPr>
        <w:t xml:space="preserve">            </w:t>
      </w:r>
      <w:r w:rsidR="00A04672" w:rsidRPr="002D5F4F">
        <w:rPr>
          <w:rFonts w:ascii="Arial" w:hAnsi="Arial" w:cs="Arial"/>
          <w:sz w:val="24"/>
          <w:szCs w:val="24"/>
        </w:rPr>
        <w:t>(P</w:t>
      </w:r>
      <w:r w:rsidRPr="002D5F4F">
        <w:rPr>
          <w:rFonts w:ascii="Arial" w:hAnsi="Arial" w:cs="Arial"/>
          <w:sz w:val="24"/>
          <w:szCs w:val="24"/>
        </w:rPr>
        <w:t>eriod end date</w:t>
      </w:r>
      <w:r w:rsidR="00A04672" w:rsidRPr="002D5F4F">
        <w:rPr>
          <w:rFonts w:ascii="Arial" w:hAnsi="Arial" w:cs="Arial"/>
          <w:sz w:val="24"/>
          <w:szCs w:val="24"/>
        </w:rPr>
        <w:t>)</w:t>
      </w:r>
    </w:p>
    <w:p w14:paraId="7CAAC6A7" w14:textId="77777777" w:rsidR="00A8188A" w:rsidRDefault="00A8188A" w:rsidP="00480FAE">
      <w:pPr>
        <w:spacing w:after="0" w:line="240" w:lineRule="auto"/>
        <w:rPr>
          <w:rFonts w:ascii="Arial" w:hAnsi="Arial" w:cs="Arial"/>
          <w:b/>
          <w:sz w:val="24"/>
          <w:szCs w:val="24"/>
        </w:rPr>
      </w:pPr>
    </w:p>
    <w:p w14:paraId="3E93FF96" w14:textId="77777777" w:rsidR="002D5F4F" w:rsidRDefault="002D5F4F" w:rsidP="00480FAE">
      <w:pPr>
        <w:spacing w:after="0" w:line="240" w:lineRule="auto"/>
        <w:rPr>
          <w:rFonts w:ascii="Arial" w:hAnsi="Arial" w:cs="Arial"/>
          <w:b/>
          <w:sz w:val="24"/>
          <w:szCs w:val="24"/>
        </w:rPr>
      </w:pPr>
    </w:p>
    <w:p w14:paraId="4EC0EE57" w14:textId="77777777" w:rsidR="002D5F4F" w:rsidRPr="00E063C0" w:rsidRDefault="002D5F4F" w:rsidP="002D5F4F">
      <w:pPr>
        <w:spacing w:after="0" w:line="240" w:lineRule="auto"/>
        <w:rPr>
          <w:rFonts w:ascii="Arial" w:hAnsi="Arial" w:cs="Arial"/>
          <w:b/>
          <w:sz w:val="28"/>
          <w:szCs w:val="28"/>
        </w:rPr>
      </w:pPr>
      <w:r>
        <w:rPr>
          <w:rFonts w:ascii="Arial" w:hAnsi="Arial" w:cs="Arial"/>
          <w:b/>
          <w:sz w:val="28"/>
          <w:szCs w:val="28"/>
        </w:rPr>
        <w:t>Reference and Administration Details</w:t>
      </w:r>
    </w:p>
    <w:p w14:paraId="5A845912" w14:textId="77777777" w:rsidR="002D5F4F" w:rsidRDefault="002D5F4F" w:rsidP="00480FAE">
      <w:pPr>
        <w:spacing w:after="0" w:line="240" w:lineRule="auto"/>
        <w:rPr>
          <w:rFonts w:ascii="Arial" w:hAnsi="Arial" w:cs="Arial"/>
          <w:b/>
          <w:sz w:val="24"/>
          <w:szCs w:val="24"/>
        </w:rPr>
      </w:pPr>
    </w:p>
    <w:p w14:paraId="2259DCBC" w14:textId="77777777" w:rsidR="002D5F4F" w:rsidRDefault="002D5F4F" w:rsidP="00480FAE">
      <w:pPr>
        <w:spacing w:after="0" w:line="240" w:lineRule="auto"/>
        <w:rPr>
          <w:rFonts w:ascii="Arial" w:hAnsi="Arial" w:cs="Arial"/>
          <w:b/>
          <w:sz w:val="24"/>
          <w:szCs w:val="24"/>
        </w:rPr>
      </w:pPr>
    </w:p>
    <w:p w14:paraId="6C75DFED" w14:textId="77777777" w:rsidR="00F75F0C" w:rsidRDefault="00F75F0C" w:rsidP="00480FAE">
      <w:pPr>
        <w:spacing w:after="0" w:line="240" w:lineRule="auto"/>
        <w:rPr>
          <w:rFonts w:ascii="Arial" w:hAnsi="Arial" w:cs="Arial"/>
          <w:sz w:val="24"/>
          <w:szCs w:val="24"/>
        </w:rPr>
      </w:pPr>
      <w:r>
        <w:rPr>
          <w:rFonts w:ascii="Arial" w:hAnsi="Arial" w:cs="Arial"/>
          <w:b/>
          <w:sz w:val="24"/>
          <w:szCs w:val="24"/>
        </w:rPr>
        <w:t>Charity name:</w:t>
      </w:r>
      <w:r w:rsidR="00253D1E">
        <w:rPr>
          <w:rFonts w:ascii="Arial" w:hAnsi="Arial" w:cs="Arial"/>
          <w:b/>
          <w:sz w:val="24"/>
          <w:szCs w:val="24"/>
        </w:rPr>
        <w:t xml:space="preserve">  </w:t>
      </w:r>
      <w:r w:rsidR="00253D1E" w:rsidRPr="002D5F4F">
        <w:rPr>
          <w:rFonts w:ascii="Arial" w:hAnsi="Arial" w:cs="Arial"/>
          <w:sz w:val="24"/>
          <w:szCs w:val="24"/>
        </w:rPr>
        <w:t>Pitstone Parish Charity</w:t>
      </w:r>
      <w:r w:rsidR="00B536FF">
        <w:rPr>
          <w:rFonts w:ascii="Arial" w:hAnsi="Arial" w:cs="Arial"/>
          <w:sz w:val="24"/>
          <w:szCs w:val="24"/>
        </w:rPr>
        <w:t xml:space="preserve"> (from 18/3/2004)</w:t>
      </w:r>
    </w:p>
    <w:p w14:paraId="011C79D1" w14:textId="77777777" w:rsidR="00B536FF" w:rsidRDefault="00B536FF" w:rsidP="00480FAE">
      <w:pPr>
        <w:spacing w:after="0" w:line="240" w:lineRule="auto"/>
        <w:rPr>
          <w:rFonts w:ascii="Arial" w:hAnsi="Arial" w:cs="Arial"/>
          <w:sz w:val="24"/>
          <w:szCs w:val="24"/>
        </w:rPr>
      </w:pPr>
    </w:p>
    <w:p w14:paraId="3C79FE00" w14:textId="77777777" w:rsidR="00B536FF" w:rsidRDefault="00B536FF" w:rsidP="00480FAE">
      <w:pPr>
        <w:spacing w:after="0" w:line="240" w:lineRule="auto"/>
        <w:rPr>
          <w:rFonts w:ascii="Arial" w:hAnsi="Arial" w:cs="Arial"/>
          <w:b/>
          <w:sz w:val="24"/>
          <w:szCs w:val="24"/>
        </w:rPr>
      </w:pPr>
      <w:r w:rsidRPr="00B536FF">
        <w:rPr>
          <w:rFonts w:ascii="Arial" w:hAnsi="Arial" w:cs="Arial"/>
          <w:b/>
          <w:sz w:val="24"/>
          <w:szCs w:val="24"/>
        </w:rPr>
        <w:t>Previous names</w:t>
      </w:r>
      <w:r>
        <w:rPr>
          <w:rFonts w:ascii="Arial" w:hAnsi="Arial" w:cs="Arial"/>
          <w:sz w:val="24"/>
          <w:szCs w:val="24"/>
        </w:rPr>
        <w:t>: Allotments for the Labouring Poor</w:t>
      </w:r>
    </w:p>
    <w:p w14:paraId="2F120CE2" w14:textId="77777777" w:rsidR="00F75F0C" w:rsidRDefault="00F75F0C" w:rsidP="00480FAE">
      <w:pPr>
        <w:spacing w:after="0" w:line="240" w:lineRule="auto"/>
        <w:rPr>
          <w:rFonts w:ascii="Arial" w:hAnsi="Arial" w:cs="Arial"/>
          <w:b/>
          <w:sz w:val="24"/>
          <w:szCs w:val="24"/>
        </w:rPr>
      </w:pPr>
    </w:p>
    <w:p w14:paraId="628518F6" w14:textId="77777777" w:rsidR="00F75F0C" w:rsidRPr="002D5F4F" w:rsidRDefault="00F75F0C" w:rsidP="00480FAE">
      <w:pPr>
        <w:spacing w:after="0" w:line="240" w:lineRule="auto"/>
        <w:rPr>
          <w:rFonts w:ascii="Arial" w:hAnsi="Arial" w:cs="Arial"/>
          <w:sz w:val="24"/>
          <w:szCs w:val="24"/>
        </w:rPr>
      </w:pPr>
      <w:r>
        <w:rPr>
          <w:rFonts w:ascii="Arial" w:hAnsi="Arial" w:cs="Arial"/>
          <w:b/>
          <w:sz w:val="24"/>
          <w:szCs w:val="24"/>
        </w:rPr>
        <w:t>Charity registration number:</w:t>
      </w:r>
      <w:r w:rsidR="00253D1E">
        <w:rPr>
          <w:rFonts w:ascii="Arial" w:hAnsi="Arial" w:cs="Arial"/>
          <w:b/>
          <w:sz w:val="24"/>
          <w:szCs w:val="24"/>
        </w:rPr>
        <w:t xml:space="preserve">  </w:t>
      </w:r>
      <w:r w:rsidR="00253D1E" w:rsidRPr="002D5F4F">
        <w:rPr>
          <w:rFonts w:ascii="Arial" w:hAnsi="Arial" w:cs="Arial"/>
          <w:sz w:val="24"/>
          <w:szCs w:val="24"/>
        </w:rPr>
        <w:t>261752</w:t>
      </w:r>
    </w:p>
    <w:p w14:paraId="271B6D8F" w14:textId="77777777" w:rsidR="002D5F4F" w:rsidRDefault="002D5F4F" w:rsidP="002D5F4F">
      <w:pPr>
        <w:spacing w:after="0" w:line="240" w:lineRule="auto"/>
        <w:rPr>
          <w:rFonts w:ascii="Arial" w:hAnsi="Arial" w:cs="Arial"/>
          <w:b/>
          <w:sz w:val="24"/>
          <w:szCs w:val="24"/>
        </w:rPr>
      </w:pPr>
    </w:p>
    <w:p w14:paraId="6246D8C5" w14:textId="77777777" w:rsidR="002D5F4F" w:rsidRDefault="002D5F4F" w:rsidP="002D5F4F">
      <w:pPr>
        <w:spacing w:after="0" w:line="240" w:lineRule="auto"/>
        <w:rPr>
          <w:rFonts w:ascii="Arial" w:hAnsi="Arial" w:cs="Arial"/>
          <w:sz w:val="24"/>
          <w:szCs w:val="24"/>
        </w:rPr>
      </w:pPr>
      <w:r w:rsidRPr="00FC27DA">
        <w:rPr>
          <w:rFonts w:ascii="Arial" w:hAnsi="Arial" w:cs="Arial"/>
          <w:b/>
          <w:sz w:val="24"/>
          <w:szCs w:val="24"/>
        </w:rPr>
        <w:t>Principal address</w:t>
      </w:r>
      <w:r>
        <w:rPr>
          <w:rFonts w:ascii="Arial" w:hAnsi="Arial" w:cs="Arial"/>
          <w:sz w:val="24"/>
          <w:szCs w:val="24"/>
        </w:rPr>
        <w:t>: 9 Warwick Road, Pitstone, Beds, LU7 9FE</w:t>
      </w:r>
    </w:p>
    <w:p w14:paraId="52F6E4E4" w14:textId="77777777" w:rsidR="002D5F4F" w:rsidRDefault="002D5F4F" w:rsidP="002D5F4F">
      <w:pPr>
        <w:spacing w:after="0" w:line="240" w:lineRule="auto"/>
        <w:rPr>
          <w:rFonts w:ascii="Arial" w:hAnsi="Arial" w:cs="Arial"/>
          <w:sz w:val="24"/>
          <w:szCs w:val="24"/>
        </w:rPr>
      </w:pPr>
    </w:p>
    <w:p w14:paraId="64B7EB2C" w14:textId="77777777" w:rsidR="002D5F4F" w:rsidRDefault="002D5F4F" w:rsidP="002D5F4F">
      <w:pPr>
        <w:spacing w:after="0" w:line="240" w:lineRule="auto"/>
        <w:rPr>
          <w:rFonts w:ascii="Arial" w:hAnsi="Arial" w:cs="Arial"/>
          <w:sz w:val="24"/>
          <w:szCs w:val="24"/>
        </w:rPr>
      </w:pPr>
      <w:r w:rsidRPr="00FC27DA">
        <w:rPr>
          <w:rFonts w:ascii="Arial" w:hAnsi="Arial" w:cs="Arial"/>
          <w:b/>
          <w:sz w:val="24"/>
          <w:szCs w:val="24"/>
        </w:rPr>
        <w:t>Sole Trustee</w:t>
      </w:r>
      <w:r>
        <w:rPr>
          <w:rFonts w:ascii="Arial" w:hAnsi="Arial" w:cs="Arial"/>
          <w:sz w:val="24"/>
          <w:szCs w:val="24"/>
        </w:rPr>
        <w:t>: Pitstone Parish Council, as a corporate body</w:t>
      </w:r>
    </w:p>
    <w:p w14:paraId="7EC5E9D9" w14:textId="77777777" w:rsidR="002D5F4F" w:rsidRDefault="002D5F4F" w:rsidP="002D5F4F">
      <w:pPr>
        <w:spacing w:after="0" w:line="240" w:lineRule="auto"/>
        <w:rPr>
          <w:rFonts w:ascii="Arial" w:hAnsi="Arial" w:cs="Arial"/>
          <w:sz w:val="24"/>
          <w:szCs w:val="24"/>
        </w:rPr>
      </w:pPr>
    </w:p>
    <w:p w14:paraId="09A91522" w14:textId="77777777" w:rsidR="002D5F4F" w:rsidRDefault="002D5F4F" w:rsidP="002D5F4F">
      <w:pPr>
        <w:spacing w:after="0" w:line="240" w:lineRule="auto"/>
        <w:rPr>
          <w:rFonts w:ascii="Arial" w:hAnsi="Arial" w:cs="Arial"/>
          <w:b/>
          <w:sz w:val="24"/>
          <w:szCs w:val="24"/>
        </w:rPr>
      </w:pPr>
      <w:r w:rsidRPr="00FC27DA">
        <w:rPr>
          <w:rFonts w:ascii="Arial" w:hAnsi="Arial" w:cs="Arial"/>
          <w:b/>
          <w:sz w:val="24"/>
          <w:szCs w:val="24"/>
        </w:rPr>
        <w:t xml:space="preserve">Name and address of Advisers: </w:t>
      </w:r>
    </w:p>
    <w:p w14:paraId="369C7106" w14:textId="77777777" w:rsidR="002D5F4F" w:rsidRDefault="002D5F4F" w:rsidP="002D5F4F">
      <w:pPr>
        <w:spacing w:after="0" w:line="240" w:lineRule="auto"/>
        <w:rPr>
          <w:rFonts w:ascii="Arial" w:hAnsi="Arial" w:cs="Arial"/>
          <w:b/>
          <w:sz w:val="24"/>
          <w:szCs w:val="24"/>
        </w:rPr>
      </w:pPr>
    </w:p>
    <w:tbl>
      <w:tblPr>
        <w:tblW w:w="99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2977"/>
        <w:gridCol w:w="4663"/>
      </w:tblGrid>
      <w:tr w:rsidR="002D5F4F" w:rsidRPr="002D5F4F" w14:paraId="7D819070" w14:textId="77777777" w:rsidTr="002D5F4F">
        <w:trPr>
          <w:cantSplit/>
          <w:jc w:val="center"/>
        </w:trPr>
        <w:tc>
          <w:tcPr>
            <w:tcW w:w="2268" w:type="dxa"/>
            <w:tcBorders>
              <w:top w:val="nil"/>
              <w:left w:val="nil"/>
              <w:bottom w:val="single" w:sz="4" w:space="0" w:color="auto"/>
              <w:right w:val="nil"/>
            </w:tcBorders>
          </w:tcPr>
          <w:p w14:paraId="2AA8CB72" w14:textId="77777777" w:rsidR="002D5F4F" w:rsidRPr="002D5F4F" w:rsidRDefault="002D5F4F" w:rsidP="000D140D">
            <w:pPr>
              <w:keepNext/>
              <w:spacing w:after="0" w:line="240" w:lineRule="auto"/>
              <w:outlineLvl w:val="2"/>
              <w:rPr>
                <w:rFonts w:ascii="Arial" w:hAnsi="Arial" w:cs="Arial"/>
                <w:lang w:eastAsia="en-GB"/>
              </w:rPr>
            </w:pPr>
            <w:r w:rsidRPr="002D5F4F">
              <w:rPr>
                <w:rFonts w:ascii="Arial" w:hAnsi="Arial" w:cs="Arial"/>
                <w:lang w:eastAsia="en-GB"/>
              </w:rPr>
              <w:t>Type of adviser</w:t>
            </w:r>
          </w:p>
        </w:tc>
        <w:tc>
          <w:tcPr>
            <w:tcW w:w="2977" w:type="dxa"/>
            <w:tcBorders>
              <w:top w:val="nil"/>
              <w:left w:val="nil"/>
              <w:bottom w:val="single" w:sz="4" w:space="0" w:color="auto"/>
              <w:right w:val="nil"/>
            </w:tcBorders>
          </w:tcPr>
          <w:p w14:paraId="2891AD35" w14:textId="77777777" w:rsidR="002D5F4F" w:rsidRPr="002D5F4F" w:rsidRDefault="002D5F4F" w:rsidP="000D140D">
            <w:pPr>
              <w:spacing w:after="0" w:line="240" w:lineRule="auto"/>
              <w:rPr>
                <w:rFonts w:ascii="Arial" w:hAnsi="Arial" w:cs="Arial"/>
                <w:lang w:eastAsia="en-GB"/>
              </w:rPr>
            </w:pPr>
            <w:r w:rsidRPr="002D5F4F">
              <w:rPr>
                <w:rFonts w:ascii="Arial" w:hAnsi="Arial" w:cs="Arial"/>
                <w:lang w:eastAsia="en-GB"/>
              </w:rPr>
              <w:t>Name</w:t>
            </w:r>
          </w:p>
        </w:tc>
        <w:tc>
          <w:tcPr>
            <w:tcW w:w="4663" w:type="dxa"/>
            <w:tcBorders>
              <w:top w:val="nil"/>
              <w:left w:val="nil"/>
              <w:bottom w:val="single" w:sz="4" w:space="0" w:color="auto"/>
              <w:right w:val="nil"/>
            </w:tcBorders>
          </w:tcPr>
          <w:p w14:paraId="77AE8718" w14:textId="77777777" w:rsidR="002D5F4F" w:rsidRPr="002D5F4F" w:rsidRDefault="002D5F4F" w:rsidP="000D140D">
            <w:pPr>
              <w:spacing w:after="0" w:line="240" w:lineRule="auto"/>
              <w:rPr>
                <w:rFonts w:ascii="Arial" w:hAnsi="Arial" w:cs="Arial"/>
                <w:lang w:eastAsia="en-GB"/>
              </w:rPr>
            </w:pPr>
            <w:r w:rsidRPr="002D5F4F">
              <w:rPr>
                <w:rFonts w:ascii="Arial" w:hAnsi="Arial" w:cs="Arial"/>
                <w:lang w:eastAsia="en-GB"/>
              </w:rPr>
              <w:t>Address</w:t>
            </w:r>
            <w:r w:rsidRPr="002D5F4F">
              <w:rPr>
                <w:rFonts w:ascii="Arial" w:hAnsi="Arial" w:cs="Arial"/>
                <w:lang w:eastAsia="en-GB"/>
              </w:rPr>
              <w:br/>
            </w:r>
            <w:r w:rsidRPr="002D5F4F">
              <w:rPr>
                <w:rFonts w:ascii="Arial" w:hAnsi="Arial" w:cs="Arial"/>
                <w:lang w:eastAsia="en-GB"/>
              </w:rPr>
              <w:br/>
            </w:r>
          </w:p>
        </w:tc>
      </w:tr>
      <w:tr w:rsidR="002D5F4F" w:rsidRPr="00C54651" w14:paraId="2C281932" w14:textId="77777777" w:rsidTr="002D5F4F">
        <w:trPr>
          <w:cantSplit/>
          <w:jc w:val="center"/>
        </w:trPr>
        <w:tc>
          <w:tcPr>
            <w:tcW w:w="2268" w:type="dxa"/>
            <w:tcBorders>
              <w:top w:val="single" w:sz="4" w:space="0" w:color="auto"/>
              <w:left w:val="single" w:sz="4" w:space="0" w:color="auto"/>
              <w:bottom w:val="single" w:sz="4" w:space="0" w:color="auto"/>
              <w:right w:val="single" w:sz="4" w:space="0" w:color="auto"/>
            </w:tcBorders>
          </w:tcPr>
          <w:p w14:paraId="6E8F081A" w14:textId="77777777" w:rsidR="002D5F4F" w:rsidRPr="00DE0219" w:rsidRDefault="002D5F4F" w:rsidP="000D140D">
            <w:pPr>
              <w:keepNext/>
              <w:spacing w:before="60" w:after="60" w:line="240" w:lineRule="auto"/>
              <w:outlineLvl w:val="2"/>
              <w:rPr>
                <w:rFonts w:ascii="Arial" w:hAnsi="Arial" w:cs="Arial"/>
                <w:lang w:eastAsia="en-GB"/>
              </w:rPr>
            </w:pPr>
            <w:r w:rsidRPr="00DE0219">
              <w:rPr>
                <w:rFonts w:cs="Arial"/>
                <w:sz w:val="20"/>
              </w:rPr>
              <w:t>Land agent</w:t>
            </w:r>
            <w:r>
              <w:rPr>
                <w:rFonts w:cs="Arial"/>
                <w:sz w:val="20"/>
              </w:rPr>
              <w:t xml:space="preserve"> to the Parish Charity</w:t>
            </w:r>
          </w:p>
        </w:tc>
        <w:tc>
          <w:tcPr>
            <w:tcW w:w="2977" w:type="dxa"/>
            <w:tcBorders>
              <w:top w:val="single" w:sz="4" w:space="0" w:color="auto"/>
              <w:left w:val="single" w:sz="4" w:space="0" w:color="auto"/>
              <w:bottom w:val="single" w:sz="4" w:space="0" w:color="auto"/>
              <w:right w:val="single" w:sz="4" w:space="0" w:color="auto"/>
            </w:tcBorders>
          </w:tcPr>
          <w:p w14:paraId="0036D18C" w14:textId="77777777" w:rsidR="002D5F4F" w:rsidRPr="00B47F3D" w:rsidRDefault="002D5F4F" w:rsidP="000D140D">
            <w:pPr>
              <w:spacing w:before="60" w:after="60"/>
              <w:rPr>
                <w:rFonts w:cs="Arial"/>
                <w:sz w:val="20"/>
              </w:rPr>
            </w:pPr>
            <w:r w:rsidRPr="00B47F3D">
              <w:rPr>
                <w:rFonts w:cs="Arial"/>
                <w:sz w:val="20"/>
              </w:rPr>
              <w:t>Andrew Wright</w:t>
            </w:r>
          </w:p>
          <w:p w14:paraId="5211A453" w14:textId="77777777" w:rsidR="002D5F4F" w:rsidRPr="00B47F3D" w:rsidRDefault="002D5F4F" w:rsidP="000D140D">
            <w:pPr>
              <w:spacing w:before="60" w:after="60"/>
              <w:rPr>
                <w:rFonts w:cs="Arial"/>
                <w:sz w:val="20"/>
              </w:rPr>
            </w:pPr>
            <w:r w:rsidRPr="00B47F3D">
              <w:rPr>
                <w:rFonts w:cs="Arial"/>
                <w:sz w:val="20"/>
              </w:rPr>
              <w:t>Managing Partner</w:t>
            </w:r>
          </w:p>
          <w:p w14:paraId="09D9F466" w14:textId="77777777" w:rsidR="002D5F4F" w:rsidRPr="00C54651" w:rsidRDefault="002D5F4F" w:rsidP="000D140D">
            <w:pPr>
              <w:spacing w:before="60" w:after="60" w:line="240" w:lineRule="auto"/>
              <w:rPr>
                <w:rFonts w:ascii="Arial" w:hAnsi="Arial" w:cs="Arial"/>
                <w:szCs w:val="20"/>
                <w:lang w:eastAsia="en-GB"/>
              </w:rPr>
            </w:pPr>
            <w:r w:rsidRPr="00B47F3D">
              <w:rPr>
                <w:rFonts w:cs="Arial"/>
                <w:sz w:val="20"/>
              </w:rPr>
              <w:t>Head of Land Planning &amp; Development</w:t>
            </w:r>
          </w:p>
        </w:tc>
        <w:tc>
          <w:tcPr>
            <w:tcW w:w="4663" w:type="dxa"/>
            <w:tcBorders>
              <w:top w:val="single" w:sz="4" w:space="0" w:color="auto"/>
              <w:left w:val="single" w:sz="4" w:space="0" w:color="auto"/>
              <w:bottom w:val="single" w:sz="4" w:space="0" w:color="auto"/>
              <w:right w:val="single" w:sz="4" w:space="0" w:color="auto"/>
            </w:tcBorders>
          </w:tcPr>
          <w:p w14:paraId="0981B2AB" w14:textId="77777777" w:rsidR="002D5F4F" w:rsidRPr="00B47F3D" w:rsidRDefault="002D5F4F" w:rsidP="000D140D">
            <w:pPr>
              <w:spacing w:before="60" w:after="60"/>
              <w:rPr>
                <w:rFonts w:cs="Arial"/>
                <w:sz w:val="20"/>
              </w:rPr>
            </w:pPr>
            <w:r w:rsidRPr="00B47F3D">
              <w:rPr>
                <w:rFonts w:cs="Arial"/>
                <w:sz w:val="20"/>
              </w:rPr>
              <w:t>Kirkby &amp; Diamond</w:t>
            </w:r>
          </w:p>
          <w:p w14:paraId="4FAFF3C8" w14:textId="77777777" w:rsidR="002D5F4F" w:rsidRPr="00C54651" w:rsidRDefault="002D5F4F" w:rsidP="000D140D">
            <w:pPr>
              <w:spacing w:before="60" w:after="60" w:line="240" w:lineRule="auto"/>
              <w:rPr>
                <w:rFonts w:ascii="Arial" w:hAnsi="Arial" w:cs="Arial"/>
                <w:szCs w:val="20"/>
                <w:lang w:eastAsia="en-GB"/>
              </w:rPr>
            </w:pPr>
            <w:r w:rsidRPr="00DE0219">
              <w:rPr>
                <w:rFonts w:cs="Arial"/>
                <w:sz w:val="20"/>
              </w:rPr>
              <w:t>57 North Twelfth Street</w:t>
            </w:r>
            <w:r w:rsidRPr="00DE0219">
              <w:rPr>
                <w:rFonts w:cs="Arial"/>
                <w:sz w:val="20"/>
              </w:rPr>
              <w:br/>
              <w:t>Milton Keynes, MK9 3BS</w:t>
            </w:r>
          </w:p>
        </w:tc>
      </w:tr>
      <w:tr w:rsidR="002D5F4F" w:rsidRPr="00C54651" w14:paraId="31A02C06" w14:textId="77777777" w:rsidTr="002D5F4F">
        <w:trPr>
          <w:cantSplit/>
          <w:jc w:val="center"/>
        </w:trPr>
        <w:tc>
          <w:tcPr>
            <w:tcW w:w="2268" w:type="dxa"/>
            <w:tcBorders>
              <w:top w:val="single" w:sz="4" w:space="0" w:color="auto"/>
              <w:left w:val="single" w:sz="4" w:space="0" w:color="auto"/>
              <w:bottom w:val="single" w:sz="4" w:space="0" w:color="auto"/>
              <w:right w:val="single" w:sz="4" w:space="0" w:color="auto"/>
            </w:tcBorders>
          </w:tcPr>
          <w:p w14:paraId="195B6F54" w14:textId="77777777" w:rsidR="002D5F4F" w:rsidRPr="00DE0219" w:rsidRDefault="002D5F4F" w:rsidP="000D140D">
            <w:pPr>
              <w:keepNext/>
              <w:spacing w:before="60" w:after="60" w:line="240" w:lineRule="auto"/>
              <w:outlineLvl w:val="2"/>
              <w:rPr>
                <w:rFonts w:cs="Arial"/>
                <w:sz w:val="20"/>
              </w:rPr>
            </w:pPr>
            <w:r>
              <w:rPr>
                <w:rFonts w:cs="Arial"/>
                <w:sz w:val="20"/>
              </w:rPr>
              <w:t>Land agent to the joint landowners</w:t>
            </w:r>
          </w:p>
        </w:tc>
        <w:tc>
          <w:tcPr>
            <w:tcW w:w="2977" w:type="dxa"/>
            <w:tcBorders>
              <w:top w:val="single" w:sz="4" w:space="0" w:color="auto"/>
              <w:left w:val="single" w:sz="4" w:space="0" w:color="auto"/>
              <w:bottom w:val="single" w:sz="4" w:space="0" w:color="auto"/>
              <w:right w:val="single" w:sz="4" w:space="0" w:color="auto"/>
            </w:tcBorders>
          </w:tcPr>
          <w:p w14:paraId="63CAAD06" w14:textId="77777777" w:rsidR="002D5F4F" w:rsidRDefault="002D5F4F" w:rsidP="000D140D">
            <w:pPr>
              <w:spacing w:before="60" w:after="60"/>
              <w:rPr>
                <w:rFonts w:cs="Arial"/>
                <w:sz w:val="20"/>
              </w:rPr>
            </w:pPr>
            <w:r>
              <w:rPr>
                <w:rFonts w:cs="Arial"/>
                <w:sz w:val="20"/>
              </w:rPr>
              <w:t>Derek Bromley</w:t>
            </w:r>
          </w:p>
          <w:p w14:paraId="715CB244" w14:textId="77777777" w:rsidR="002D5F4F" w:rsidRPr="00B47F3D" w:rsidRDefault="002D5F4F" w:rsidP="000D140D">
            <w:pPr>
              <w:spacing w:before="60" w:after="60"/>
              <w:rPr>
                <w:rFonts w:cs="Arial"/>
                <w:sz w:val="20"/>
              </w:rPr>
            </w:pPr>
            <w:r>
              <w:rPr>
                <w:rFonts w:cs="Arial"/>
                <w:sz w:val="20"/>
              </w:rPr>
              <w:t>Partner, Residential Development</w:t>
            </w:r>
          </w:p>
        </w:tc>
        <w:tc>
          <w:tcPr>
            <w:tcW w:w="4663" w:type="dxa"/>
            <w:tcBorders>
              <w:top w:val="single" w:sz="4" w:space="0" w:color="auto"/>
              <w:left w:val="single" w:sz="4" w:space="0" w:color="auto"/>
              <w:bottom w:val="single" w:sz="4" w:space="0" w:color="auto"/>
              <w:right w:val="single" w:sz="4" w:space="0" w:color="auto"/>
            </w:tcBorders>
          </w:tcPr>
          <w:p w14:paraId="0C2FDAE9" w14:textId="77777777" w:rsidR="002D5F4F" w:rsidRPr="00536225" w:rsidRDefault="002D5F4F" w:rsidP="000D140D">
            <w:pPr>
              <w:spacing w:before="60" w:after="60"/>
              <w:rPr>
                <w:rFonts w:cs="Arial"/>
                <w:sz w:val="20"/>
                <w:szCs w:val="20"/>
              </w:rPr>
            </w:pPr>
            <w:r w:rsidRPr="00536225">
              <w:rPr>
                <w:rFonts w:cs="Arial"/>
                <w:sz w:val="20"/>
                <w:szCs w:val="20"/>
              </w:rPr>
              <w:t>Bidwells</w:t>
            </w:r>
          </w:p>
          <w:p w14:paraId="22EDC808" w14:textId="77777777" w:rsidR="002D5F4F" w:rsidRDefault="002D5F4F" w:rsidP="000D140D">
            <w:pPr>
              <w:spacing w:before="60" w:after="60"/>
              <w:rPr>
                <w:rFonts w:cs="Arial"/>
                <w:sz w:val="20"/>
                <w:szCs w:val="20"/>
              </w:rPr>
            </w:pPr>
            <w:r>
              <w:rPr>
                <w:rFonts w:cs="Arial"/>
                <w:sz w:val="20"/>
                <w:szCs w:val="20"/>
              </w:rPr>
              <w:t>2nd Floor, 45 Grosvenor Road,</w:t>
            </w:r>
          </w:p>
          <w:p w14:paraId="171F94E7" w14:textId="77777777" w:rsidR="002D5F4F" w:rsidRPr="00B47F3D" w:rsidRDefault="002D5F4F" w:rsidP="000D140D">
            <w:pPr>
              <w:spacing w:before="60" w:after="60"/>
              <w:rPr>
                <w:rFonts w:cs="Arial"/>
                <w:sz w:val="20"/>
              </w:rPr>
            </w:pPr>
            <w:r>
              <w:rPr>
                <w:rFonts w:cs="Arial"/>
                <w:sz w:val="20"/>
                <w:szCs w:val="20"/>
              </w:rPr>
              <w:t>St.Albans, Hertfordshire,</w:t>
            </w:r>
            <w:r w:rsidRPr="00536225">
              <w:rPr>
                <w:rFonts w:cs="Arial"/>
                <w:sz w:val="20"/>
                <w:szCs w:val="20"/>
              </w:rPr>
              <w:t xml:space="preserve"> AL1 3AW</w:t>
            </w:r>
          </w:p>
        </w:tc>
      </w:tr>
      <w:tr w:rsidR="002D5F4F" w:rsidRPr="00C54651" w14:paraId="7D1B150C" w14:textId="77777777" w:rsidTr="002D5F4F">
        <w:trPr>
          <w:cantSplit/>
          <w:jc w:val="center"/>
        </w:trPr>
        <w:tc>
          <w:tcPr>
            <w:tcW w:w="2268" w:type="dxa"/>
            <w:tcBorders>
              <w:top w:val="single" w:sz="4" w:space="0" w:color="auto"/>
              <w:left w:val="single" w:sz="4" w:space="0" w:color="auto"/>
              <w:bottom w:val="single" w:sz="4" w:space="0" w:color="auto"/>
              <w:right w:val="single" w:sz="4" w:space="0" w:color="auto"/>
            </w:tcBorders>
          </w:tcPr>
          <w:p w14:paraId="68C5AE4E" w14:textId="77777777" w:rsidR="002D5F4F" w:rsidRDefault="002D5F4F" w:rsidP="000D140D">
            <w:pPr>
              <w:keepNext/>
              <w:spacing w:before="60" w:after="60" w:line="240" w:lineRule="auto"/>
              <w:outlineLvl w:val="2"/>
              <w:rPr>
                <w:rFonts w:cs="Arial"/>
                <w:sz w:val="20"/>
              </w:rPr>
            </w:pPr>
            <w:r>
              <w:rPr>
                <w:rFonts w:cs="Arial"/>
                <w:sz w:val="20"/>
              </w:rPr>
              <w:t>Solicitor</w:t>
            </w:r>
          </w:p>
        </w:tc>
        <w:tc>
          <w:tcPr>
            <w:tcW w:w="2977" w:type="dxa"/>
            <w:tcBorders>
              <w:top w:val="single" w:sz="4" w:space="0" w:color="auto"/>
              <w:left w:val="single" w:sz="4" w:space="0" w:color="auto"/>
              <w:bottom w:val="single" w:sz="4" w:space="0" w:color="auto"/>
              <w:right w:val="single" w:sz="4" w:space="0" w:color="auto"/>
            </w:tcBorders>
          </w:tcPr>
          <w:p w14:paraId="02BCD529" w14:textId="77777777" w:rsidR="002D5F4F" w:rsidRDefault="002D5F4F" w:rsidP="000D140D">
            <w:pPr>
              <w:spacing w:before="60" w:after="60"/>
              <w:rPr>
                <w:rFonts w:cs="Arial"/>
                <w:sz w:val="20"/>
              </w:rPr>
            </w:pPr>
            <w:r>
              <w:rPr>
                <w:rFonts w:cs="Arial"/>
                <w:sz w:val="20"/>
              </w:rPr>
              <w:t>Terence Ritchie</w:t>
            </w:r>
          </w:p>
          <w:p w14:paraId="214A2BCF" w14:textId="77777777" w:rsidR="002D5F4F" w:rsidRDefault="002D5F4F" w:rsidP="000D140D">
            <w:pPr>
              <w:spacing w:before="60" w:after="60"/>
              <w:rPr>
                <w:rFonts w:cs="Arial"/>
                <w:sz w:val="20"/>
              </w:rPr>
            </w:pPr>
            <w:r>
              <w:rPr>
                <w:rFonts w:cs="Arial"/>
                <w:sz w:val="20"/>
              </w:rPr>
              <w:t>Partner, Real Estate</w:t>
            </w:r>
          </w:p>
        </w:tc>
        <w:tc>
          <w:tcPr>
            <w:tcW w:w="4663" w:type="dxa"/>
            <w:tcBorders>
              <w:top w:val="single" w:sz="4" w:space="0" w:color="auto"/>
              <w:left w:val="single" w:sz="4" w:space="0" w:color="auto"/>
              <w:bottom w:val="single" w:sz="4" w:space="0" w:color="auto"/>
              <w:right w:val="single" w:sz="4" w:space="0" w:color="auto"/>
            </w:tcBorders>
          </w:tcPr>
          <w:p w14:paraId="357F7A98" w14:textId="77777777" w:rsidR="002D5F4F" w:rsidRDefault="002D5F4F" w:rsidP="000D140D">
            <w:pPr>
              <w:spacing w:before="60" w:after="60"/>
              <w:rPr>
                <w:sz w:val="20"/>
                <w:szCs w:val="20"/>
              </w:rPr>
            </w:pPr>
            <w:r w:rsidRPr="00842662">
              <w:rPr>
                <w:bCs/>
                <w:sz w:val="20"/>
                <w:szCs w:val="20"/>
              </w:rPr>
              <w:t>SA Law LLP</w:t>
            </w:r>
            <w:r w:rsidRPr="00842662">
              <w:rPr>
                <w:sz w:val="20"/>
                <w:szCs w:val="20"/>
              </w:rPr>
              <w:t xml:space="preserve"> </w:t>
            </w:r>
          </w:p>
          <w:p w14:paraId="768EF441" w14:textId="77777777" w:rsidR="002D5F4F" w:rsidRDefault="002D5F4F" w:rsidP="000D140D">
            <w:pPr>
              <w:spacing w:before="60" w:after="60"/>
              <w:rPr>
                <w:sz w:val="20"/>
                <w:szCs w:val="20"/>
              </w:rPr>
            </w:pPr>
            <w:r w:rsidRPr="00842662">
              <w:rPr>
                <w:sz w:val="20"/>
                <w:szCs w:val="20"/>
              </w:rPr>
              <w:t>Gladstone Place</w:t>
            </w:r>
            <w:r>
              <w:rPr>
                <w:sz w:val="20"/>
                <w:szCs w:val="20"/>
              </w:rPr>
              <w:t xml:space="preserve">, </w:t>
            </w:r>
            <w:r w:rsidRPr="00842662">
              <w:rPr>
                <w:sz w:val="20"/>
                <w:szCs w:val="20"/>
              </w:rPr>
              <w:t>36-38 Upper Marlborough Road</w:t>
            </w:r>
            <w:r>
              <w:rPr>
                <w:sz w:val="20"/>
                <w:szCs w:val="20"/>
              </w:rPr>
              <w:t>,</w:t>
            </w:r>
          </w:p>
          <w:p w14:paraId="653D560D" w14:textId="77777777" w:rsidR="002D5F4F" w:rsidRPr="00842662" w:rsidRDefault="002D5F4F" w:rsidP="000D140D">
            <w:pPr>
              <w:spacing w:before="60" w:after="60"/>
              <w:rPr>
                <w:rFonts w:cs="Arial"/>
                <w:sz w:val="20"/>
                <w:szCs w:val="20"/>
              </w:rPr>
            </w:pPr>
            <w:r>
              <w:rPr>
                <w:sz w:val="20"/>
                <w:szCs w:val="20"/>
              </w:rPr>
              <w:t>S</w:t>
            </w:r>
            <w:r w:rsidRPr="00842662">
              <w:rPr>
                <w:sz w:val="20"/>
                <w:szCs w:val="20"/>
              </w:rPr>
              <w:t>t Albans</w:t>
            </w:r>
            <w:r>
              <w:rPr>
                <w:sz w:val="20"/>
                <w:szCs w:val="20"/>
              </w:rPr>
              <w:t xml:space="preserve">, </w:t>
            </w:r>
            <w:r w:rsidRPr="00842662">
              <w:rPr>
                <w:sz w:val="20"/>
                <w:szCs w:val="20"/>
              </w:rPr>
              <w:t>Hertfordshire</w:t>
            </w:r>
            <w:r>
              <w:rPr>
                <w:sz w:val="20"/>
                <w:szCs w:val="20"/>
              </w:rPr>
              <w:t>,</w:t>
            </w:r>
            <w:r w:rsidRPr="00842662">
              <w:rPr>
                <w:sz w:val="20"/>
                <w:szCs w:val="20"/>
              </w:rPr>
              <w:t xml:space="preserve"> AL1 3UU</w:t>
            </w:r>
          </w:p>
        </w:tc>
      </w:tr>
    </w:tbl>
    <w:p w14:paraId="130375E2" w14:textId="77777777" w:rsidR="002D5F4F" w:rsidRDefault="002D5F4F" w:rsidP="002D5F4F">
      <w:pPr>
        <w:spacing w:after="0" w:line="240" w:lineRule="auto"/>
        <w:rPr>
          <w:rFonts w:ascii="Arial" w:hAnsi="Arial" w:cs="Arial"/>
          <w:b/>
          <w:sz w:val="24"/>
          <w:szCs w:val="24"/>
        </w:rPr>
      </w:pPr>
    </w:p>
    <w:p w14:paraId="06CE10C8" w14:textId="77777777" w:rsidR="002D5F4F" w:rsidRPr="00FC27DA" w:rsidRDefault="002D5F4F" w:rsidP="002D5F4F">
      <w:pPr>
        <w:spacing w:after="0" w:line="240" w:lineRule="auto"/>
        <w:rPr>
          <w:rFonts w:ascii="Arial" w:hAnsi="Arial" w:cs="Arial"/>
          <w:b/>
          <w:sz w:val="24"/>
          <w:szCs w:val="24"/>
        </w:rPr>
      </w:pPr>
    </w:p>
    <w:p w14:paraId="2A668C8B" w14:textId="77777777" w:rsidR="002D5F4F" w:rsidRPr="00C54651" w:rsidRDefault="002D5F4F" w:rsidP="002D5F4F">
      <w:pPr>
        <w:spacing w:after="0" w:line="240" w:lineRule="auto"/>
        <w:rPr>
          <w:rFonts w:ascii="Arial" w:hAnsi="Arial" w:cs="Arial"/>
          <w:b/>
          <w:sz w:val="28"/>
          <w:szCs w:val="28"/>
        </w:rPr>
      </w:pPr>
      <w:r w:rsidRPr="00C54651">
        <w:rPr>
          <w:rFonts w:ascii="Arial" w:hAnsi="Arial" w:cs="Arial"/>
          <w:b/>
          <w:sz w:val="28"/>
          <w:szCs w:val="28"/>
        </w:rPr>
        <w:t>Structure, Governance and Management</w:t>
      </w:r>
    </w:p>
    <w:p w14:paraId="3B2A79B4" w14:textId="77777777" w:rsidR="002D5F4F" w:rsidRPr="00C54651" w:rsidRDefault="002D5F4F" w:rsidP="002D5F4F">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D5F4F" w:rsidRPr="00C54651" w14:paraId="51FD1524" w14:textId="77777777" w:rsidTr="000D140D">
        <w:tc>
          <w:tcPr>
            <w:tcW w:w="3080" w:type="dxa"/>
          </w:tcPr>
          <w:p w14:paraId="678BB39F" w14:textId="77777777" w:rsidR="002D5F4F" w:rsidRPr="00C54651" w:rsidRDefault="002D5F4F" w:rsidP="000D140D">
            <w:pPr>
              <w:rPr>
                <w:rFonts w:ascii="Arial" w:hAnsi="Arial" w:cs="Arial"/>
              </w:rPr>
            </w:pPr>
            <w:r w:rsidRPr="00C54651">
              <w:rPr>
                <w:rFonts w:ascii="Arial" w:hAnsi="Arial" w:cs="Arial"/>
              </w:rPr>
              <w:t>Description of charity’s trusts:</w:t>
            </w:r>
          </w:p>
        </w:tc>
        <w:tc>
          <w:tcPr>
            <w:tcW w:w="1564" w:type="dxa"/>
          </w:tcPr>
          <w:p w14:paraId="7576D4AB" w14:textId="77777777" w:rsidR="002D5F4F" w:rsidRPr="00C54651" w:rsidRDefault="002D5F4F" w:rsidP="000D140D">
            <w:pPr>
              <w:rPr>
                <w:rFonts w:ascii="Arial" w:hAnsi="Arial" w:cs="Arial"/>
                <w:b/>
              </w:rPr>
            </w:pPr>
          </w:p>
        </w:tc>
        <w:tc>
          <w:tcPr>
            <w:tcW w:w="4598" w:type="dxa"/>
          </w:tcPr>
          <w:p w14:paraId="6AC99243" w14:textId="77777777" w:rsidR="002D5F4F" w:rsidRPr="00C54651" w:rsidRDefault="002D5F4F" w:rsidP="000D140D">
            <w:pPr>
              <w:rPr>
                <w:rFonts w:ascii="Arial" w:hAnsi="Arial" w:cs="Arial"/>
                <w:b/>
              </w:rPr>
            </w:pPr>
            <w:r w:rsidRPr="00B47F3D">
              <w:rPr>
                <w:rFonts w:cs="Arial"/>
                <w:sz w:val="20"/>
              </w:rPr>
              <w:t>Charity Commission Sealed Scheme of 28/12/1923, and Sealed Scheme of 18/3/2004.</w:t>
            </w:r>
          </w:p>
        </w:tc>
      </w:tr>
      <w:tr w:rsidR="002D5F4F" w:rsidRPr="00C54651" w14:paraId="0797D018" w14:textId="77777777" w:rsidTr="000D140D">
        <w:tc>
          <w:tcPr>
            <w:tcW w:w="3080" w:type="dxa"/>
          </w:tcPr>
          <w:p w14:paraId="7520E935" w14:textId="77777777" w:rsidR="002D5F4F" w:rsidRPr="00C54651" w:rsidRDefault="002D5F4F" w:rsidP="000D140D">
            <w:pPr>
              <w:rPr>
                <w:rFonts w:ascii="Arial" w:hAnsi="Arial" w:cs="Arial"/>
              </w:rPr>
            </w:pPr>
            <w:r>
              <w:rPr>
                <w:rFonts w:ascii="Arial" w:hAnsi="Arial" w:cs="Arial"/>
              </w:rPr>
              <w:t>Type of governing document</w:t>
            </w:r>
          </w:p>
        </w:tc>
        <w:tc>
          <w:tcPr>
            <w:tcW w:w="1564" w:type="dxa"/>
          </w:tcPr>
          <w:p w14:paraId="0A9F7C03" w14:textId="77777777" w:rsidR="002D5F4F" w:rsidRPr="00C54651" w:rsidRDefault="002D5F4F" w:rsidP="000D140D">
            <w:pPr>
              <w:rPr>
                <w:rFonts w:ascii="Arial" w:hAnsi="Arial" w:cs="Arial"/>
                <w:sz w:val="16"/>
                <w:szCs w:val="16"/>
              </w:rPr>
            </w:pPr>
            <w:r w:rsidRPr="00C54651">
              <w:rPr>
                <w:rFonts w:ascii="Arial" w:hAnsi="Arial" w:cs="Arial"/>
                <w:sz w:val="16"/>
                <w:szCs w:val="16"/>
              </w:rPr>
              <w:t>Para 1.25</w:t>
            </w:r>
          </w:p>
          <w:p w14:paraId="236525FB" w14:textId="77777777" w:rsidR="002D5F4F" w:rsidRPr="00C54651" w:rsidRDefault="002D5F4F" w:rsidP="000D140D">
            <w:pPr>
              <w:rPr>
                <w:rFonts w:ascii="Arial" w:hAnsi="Arial" w:cs="Arial"/>
                <w:sz w:val="16"/>
                <w:szCs w:val="16"/>
              </w:rPr>
            </w:pPr>
          </w:p>
        </w:tc>
        <w:tc>
          <w:tcPr>
            <w:tcW w:w="4598" w:type="dxa"/>
          </w:tcPr>
          <w:p w14:paraId="7A6ECC12" w14:textId="77777777" w:rsidR="002D5F4F" w:rsidRPr="00C54651" w:rsidRDefault="002D5F4F" w:rsidP="000D140D">
            <w:pPr>
              <w:rPr>
                <w:rFonts w:ascii="Arial" w:hAnsi="Arial" w:cs="Arial"/>
                <w:b/>
              </w:rPr>
            </w:pPr>
            <w:r>
              <w:rPr>
                <w:rFonts w:cs="Arial"/>
                <w:sz w:val="20"/>
              </w:rPr>
              <w:t>Trust deed</w:t>
            </w:r>
          </w:p>
        </w:tc>
      </w:tr>
      <w:tr w:rsidR="002D5F4F" w:rsidRPr="00C54651" w14:paraId="41AF6E97" w14:textId="77777777" w:rsidTr="000D140D">
        <w:tc>
          <w:tcPr>
            <w:tcW w:w="3080" w:type="dxa"/>
          </w:tcPr>
          <w:p w14:paraId="6616DE71" w14:textId="77777777" w:rsidR="002D5F4F" w:rsidRPr="00C54651" w:rsidRDefault="002D5F4F" w:rsidP="000D140D">
            <w:pPr>
              <w:rPr>
                <w:rFonts w:ascii="Arial" w:hAnsi="Arial" w:cs="Arial"/>
              </w:rPr>
            </w:pPr>
            <w:r w:rsidRPr="00C54651">
              <w:rPr>
                <w:rFonts w:ascii="Arial" w:hAnsi="Arial" w:cs="Arial"/>
              </w:rPr>
              <w:t xml:space="preserve">How is the charity constituted? </w:t>
            </w:r>
          </w:p>
          <w:p w14:paraId="166077F6" w14:textId="77777777" w:rsidR="002D5F4F" w:rsidRPr="000635AC" w:rsidRDefault="002D5F4F" w:rsidP="000D140D">
            <w:pPr>
              <w:rPr>
                <w:rFonts w:ascii="Arial" w:hAnsi="Arial" w:cs="Arial"/>
                <w:sz w:val="18"/>
                <w:szCs w:val="18"/>
              </w:rPr>
            </w:pPr>
            <w:r w:rsidRPr="000635AC">
              <w:rPr>
                <w:rFonts w:ascii="Arial" w:hAnsi="Arial" w:cs="Arial"/>
                <w:color w:val="8DB3E2" w:themeColor="text2" w:themeTint="66"/>
                <w:sz w:val="18"/>
                <w:szCs w:val="18"/>
              </w:rPr>
              <w:t>(e.g unincorporated association, CIO)</w:t>
            </w:r>
          </w:p>
        </w:tc>
        <w:tc>
          <w:tcPr>
            <w:tcW w:w="1564" w:type="dxa"/>
          </w:tcPr>
          <w:p w14:paraId="0DE6C2DB" w14:textId="77777777" w:rsidR="002D5F4F" w:rsidRPr="00C54651" w:rsidRDefault="002D5F4F" w:rsidP="000D140D">
            <w:pPr>
              <w:rPr>
                <w:rFonts w:ascii="Arial" w:hAnsi="Arial" w:cs="Arial"/>
                <w:sz w:val="16"/>
                <w:szCs w:val="16"/>
              </w:rPr>
            </w:pPr>
            <w:r w:rsidRPr="00C54651">
              <w:rPr>
                <w:rFonts w:ascii="Arial" w:hAnsi="Arial" w:cs="Arial"/>
                <w:sz w:val="16"/>
                <w:szCs w:val="16"/>
              </w:rPr>
              <w:t>Para 1.25</w:t>
            </w:r>
          </w:p>
        </w:tc>
        <w:tc>
          <w:tcPr>
            <w:tcW w:w="4598" w:type="dxa"/>
          </w:tcPr>
          <w:p w14:paraId="68CDFEA8" w14:textId="77777777" w:rsidR="002D5F4F" w:rsidRPr="00C54651" w:rsidRDefault="002D5F4F" w:rsidP="000D140D">
            <w:pPr>
              <w:rPr>
                <w:rFonts w:ascii="Arial" w:hAnsi="Arial" w:cs="Arial"/>
                <w:b/>
              </w:rPr>
            </w:pPr>
            <w:r>
              <w:rPr>
                <w:rFonts w:cs="Arial"/>
                <w:sz w:val="20"/>
              </w:rPr>
              <w:t>Unincorporated Trust</w:t>
            </w:r>
          </w:p>
        </w:tc>
      </w:tr>
    </w:tbl>
    <w:p w14:paraId="02325E7E" w14:textId="77777777" w:rsidR="00B536FF" w:rsidRDefault="00B536FF">
      <w:r>
        <w:br w:type="page"/>
      </w:r>
    </w:p>
    <w:tbl>
      <w:tblPr>
        <w:tblStyle w:val="TableGrid"/>
        <w:tblW w:w="0" w:type="auto"/>
        <w:tblLook w:val="04A0" w:firstRow="1" w:lastRow="0" w:firstColumn="1" w:lastColumn="0" w:noHBand="0" w:noVBand="1"/>
      </w:tblPr>
      <w:tblGrid>
        <w:gridCol w:w="3080"/>
        <w:gridCol w:w="1564"/>
        <w:gridCol w:w="4598"/>
      </w:tblGrid>
      <w:tr w:rsidR="002D5F4F" w:rsidRPr="00C54651" w14:paraId="430E637C" w14:textId="77777777" w:rsidTr="000D140D">
        <w:tc>
          <w:tcPr>
            <w:tcW w:w="3080" w:type="dxa"/>
          </w:tcPr>
          <w:p w14:paraId="615FADC3" w14:textId="77777777" w:rsidR="002D5F4F" w:rsidRPr="00C54651" w:rsidRDefault="002D5F4F" w:rsidP="000D140D">
            <w:pPr>
              <w:rPr>
                <w:rFonts w:ascii="Arial" w:hAnsi="Arial" w:cs="Arial"/>
              </w:rPr>
            </w:pPr>
            <w:r w:rsidRPr="00C54651">
              <w:rPr>
                <w:rFonts w:ascii="Arial" w:hAnsi="Arial" w:cs="Arial"/>
              </w:rPr>
              <w:lastRenderedPageBreak/>
              <w:t>Trustee selection methods including details of any constitutional provisions e.g. election to post or name of any person or body entitled to appoint one or more trustees</w:t>
            </w:r>
          </w:p>
        </w:tc>
        <w:tc>
          <w:tcPr>
            <w:tcW w:w="1564" w:type="dxa"/>
          </w:tcPr>
          <w:p w14:paraId="2E99EF34" w14:textId="77777777" w:rsidR="002D5F4F" w:rsidRPr="00C54651" w:rsidRDefault="002D5F4F" w:rsidP="000D140D">
            <w:pPr>
              <w:rPr>
                <w:rFonts w:ascii="Arial" w:hAnsi="Arial" w:cs="Arial"/>
                <w:sz w:val="16"/>
                <w:szCs w:val="16"/>
              </w:rPr>
            </w:pPr>
            <w:r w:rsidRPr="00C54651">
              <w:rPr>
                <w:rFonts w:ascii="Arial" w:hAnsi="Arial" w:cs="Arial"/>
                <w:sz w:val="16"/>
                <w:szCs w:val="16"/>
              </w:rPr>
              <w:t>Para 1.25</w:t>
            </w:r>
          </w:p>
        </w:tc>
        <w:tc>
          <w:tcPr>
            <w:tcW w:w="4598" w:type="dxa"/>
          </w:tcPr>
          <w:p w14:paraId="627A74CE" w14:textId="77777777" w:rsidR="002D5F4F" w:rsidRDefault="002D5F4F" w:rsidP="000D140D">
            <w:pPr>
              <w:rPr>
                <w:rFonts w:cs="Arial"/>
                <w:sz w:val="20"/>
              </w:rPr>
            </w:pPr>
            <w:r w:rsidRPr="00B47F3D">
              <w:rPr>
                <w:rFonts w:cs="Arial"/>
                <w:sz w:val="20"/>
              </w:rPr>
              <w:t>As the Parish Council, as Corporate Body, is Trustee, the trustees are selected via local government election every four years.  Where a casual vacancy occurs during the 4 years, a new member is co-opted.  Members of the Charity Committee are selected by lack of conflict of interest and competence/skills base</w:t>
            </w:r>
            <w:r>
              <w:rPr>
                <w:rFonts w:cs="Arial"/>
                <w:sz w:val="20"/>
              </w:rPr>
              <w:t xml:space="preserve">.  </w:t>
            </w:r>
          </w:p>
          <w:p w14:paraId="0EDFF7A7" w14:textId="77777777" w:rsidR="002D5F4F" w:rsidRDefault="002D5F4F" w:rsidP="000D140D">
            <w:pPr>
              <w:rPr>
                <w:rFonts w:cs="Arial"/>
                <w:sz w:val="20"/>
              </w:rPr>
            </w:pPr>
          </w:p>
          <w:p w14:paraId="412C7BF6" w14:textId="77777777" w:rsidR="002D5F4F" w:rsidRDefault="002D5F4F" w:rsidP="002D5F4F">
            <w:pPr>
              <w:rPr>
                <w:rFonts w:cs="Arial"/>
                <w:sz w:val="20"/>
              </w:rPr>
            </w:pPr>
            <w:r>
              <w:rPr>
                <w:rFonts w:cs="Arial"/>
                <w:sz w:val="20"/>
              </w:rPr>
              <w:t>Central Government postponed the election from May 2019 to May 2020, to align with the elections for the new unitary council for Buckinghamshire being created in 2020, therefore members will serve an additional year in office.</w:t>
            </w:r>
          </w:p>
          <w:p w14:paraId="629C7258" w14:textId="77777777" w:rsidR="002D5F4F" w:rsidRDefault="002D5F4F" w:rsidP="000D140D">
            <w:pPr>
              <w:rPr>
                <w:rFonts w:cs="Arial"/>
                <w:sz w:val="20"/>
              </w:rPr>
            </w:pPr>
          </w:p>
          <w:p w14:paraId="26DB7BFA" w14:textId="77777777" w:rsidR="002D5F4F" w:rsidRPr="00B47F3D" w:rsidRDefault="002D5F4F" w:rsidP="000D140D">
            <w:pPr>
              <w:rPr>
                <w:rFonts w:cs="Arial"/>
                <w:sz w:val="20"/>
              </w:rPr>
            </w:pPr>
            <w:r w:rsidRPr="00B47F3D">
              <w:rPr>
                <w:rFonts w:cs="Arial"/>
                <w:sz w:val="20"/>
              </w:rPr>
              <w:t>It is recognised that in the long term, further/replacement trustees may be required to adequately fulfil the new objectives of this charity.</w:t>
            </w:r>
          </w:p>
          <w:p w14:paraId="4D2FEFC6" w14:textId="77777777" w:rsidR="002D5F4F" w:rsidRPr="00C54651" w:rsidRDefault="002D5F4F" w:rsidP="000D140D">
            <w:pPr>
              <w:rPr>
                <w:rFonts w:ascii="Arial" w:hAnsi="Arial" w:cs="Arial"/>
                <w:b/>
              </w:rPr>
            </w:pPr>
          </w:p>
        </w:tc>
      </w:tr>
    </w:tbl>
    <w:p w14:paraId="1A0B5CBF" w14:textId="77777777" w:rsidR="002D5F4F" w:rsidRPr="00C54651" w:rsidRDefault="002D5F4F" w:rsidP="002D5F4F">
      <w:pPr>
        <w:spacing w:after="0" w:line="240" w:lineRule="auto"/>
        <w:rPr>
          <w:rFonts w:ascii="Arial" w:hAnsi="Arial" w:cs="Arial"/>
          <w:b/>
        </w:rPr>
      </w:pPr>
    </w:p>
    <w:p w14:paraId="40F1D6EA" w14:textId="77777777" w:rsidR="002D5F4F" w:rsidRPr="00C54651" w:rsidRDefault="002D5F4F" w:rsidP="002D5F4F">
      <w:pPr>
        <w:spacing w:after="0" w:line="240" w:lineRule="auto"/>
        <w:rPr>
          <w:rFonts w:ascii="Arial" w:hAnsi="Arial" w:cs="Arial"/>
          <w:b/>
        </w:rPr>
      </w:pPr>
      <w:r w:rsidRPr="00C54651">
        <w:rPr>
          <w:rFonts w:ascii="Arial" w:hAnsi="Arial" w:cs="Arial"/>
          <w:b/>
        </w:rPr>
        <w:t>Additional information (optional)</w:t>
      </w:r>
    </w:p>
    <w:p w14:paraId="18CEAC72" w14:textId="77777777" w:rsidR="002D5F4F" w:rsidRPr="00C54651" w:rsidRDefault="002D5F4F" w:rsidP="002D5F4F">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2D5F4F" w:rsidRPr="00C54651" w14:paraId="6D253748" w14:textId="77777777" w:rsidTr="000D140D">
        <w:tc>
          <w:tcPr>
            <w:tcW w:w="3080" w:type="dxa"/>
          </w:tcPr>
          <w:p w14:paraId="4BBA584C" w14:textId="77777777" w:rsidR="002D5F4F" w:rsidRPr="00C54651" w:rsidRDefault="002D5F4F" w:rsidP="000D140D">
            <w:pPr>
              <w:rPr>
                <w:rFonts w:ascii="Arial" w:hAnsi="Arial" w:cs="Arial"/>
              </w:rPr>
            </w:pPr>
            <w:r w:rsidRPr="00C54651">
              <w:rPr>
                <w:rFonts w:ascii="Arial" w:hAnsi="Arial" w:cs="Arial"/>
              </w:rPr>
              <w:t>Policies and procedures adopted for the induction and training of trustees</w:t>
            </w:r>
          </w:p>
          <w:p w14:paraId="46DA2F01" w14:textId="77777777" w:rsidR="002D5F4F" w:rsidRPr="00C54651" w:rsidRDefault="002D5F4F" w:rsidP="000D140D">
            <w:pPr>
              <w:rPr>
                <w:rFonts w:ascii="Arial" w:hAnsi="Arial" w:cs="Arial"/>
              </w:rPr>
            </w:pPr>
          </w:p>
        </w:tc>
        <w:tc>
          <w:tcPr>
            <w:tcW w:w="1564" w:type="dxa"/>
          </w:tcPr>
          <w:p w14:paraId="3B4A1992" w14:textId="77777777" w:rsidR="002D5F4F" w:rsidRPr="00C54651" w:rsidRDefault="002D5F4F" w:rsidP="000D140D">
            <w:pPr>
              <w:rPr>
                <w:rFonts w:ascii="Arial" w:hAnsi="Arial" w:cs="Arial"/>
                <w:sz w:val="16"/>
                <w:szCs w:val="16"/>
              </w:rPr>
            </w:pPr>
            <w:r w:rsidRPr="00C54651">
              <w:rPr>
                <w:rFonts w:ascii="Arial" w:hAnsi="Arial" w:cs="Arial"/>
                <w:sz w:val="16"/>
                <w:szCs w:val="16"/>
              </w:rPr>
              <w:t>Para 1.51</w:t>
            </w:r>
          </w:p>
        </w:tc>
        <w:tc>
          <w:tcPr>
            <w:tcW w:w="4598" w:type="dxa"/>
          </w:tcPr>
          <w:p w14:paraId="24C3D892" w14:textId="77777777" w:rsidR="002D5F4F" w:rsidRDefault="002D5F4F" w:rsidP="000D140D">
            <w:pPr>
              <w:rPr>
                <w:rFonts w:cs="Arial"/>
                <w:sz w:val="20"/>
              </w:rPr>
            </w:pPr>
            <w:r>
              <w:rPr>
                <w:rFonts w:cs="Arial"/>
                <w:sz w:val="20"/>
              </w:rPr>
              <w:t xml:space="preserve">All councillors joining the parish council (sole trustee) are provided within information about the charity and Charity Commission guidelines such as The Essential Trustee.  </w:t>
            </w:r>
          </w:p>
          <w:p w14:paraId="08582D69" w14:textId="77777777" w:rsidR="002D5F4F" w:rsidRDefault="002D5F4F" w:rsidP="000D140D">
            <w:pPr>
              <w:rPr>
                <w:rFonts w:cs="Arial"/>
                <w:sz w:val="20"/>
              </w:rPr>
            </w:pPr>
          </w:p>
          <w:p w14:paraId="39D2DCDA" w14:textId="77777777" w:rsidR="002D5F4F" w:rsidRDefault="002D5F4F" w:rsidP="000D140D">
            <w:pPr>
              <w:rPr>
                <w:rFonts w:cs="Arial"/>
                <w:sz w:val="20"/>
              </w:rPr>
            </w:pPr>
            <w:r>
              <w:rPr>
                <w:rFonts w:cs="Arial"/>
                <w:sz w:val="20"/>
              </w:rPr>
              <w:t>The clerk has undertaken the SAVO trustee e:learning course, and council is willing to fund training for any further members willing to undertake this commitment.</w:t>
            </w:r>
          </w:p>
          <w:p w14:paraId="696F6A83" w14:textId="77777777" w:rsidR="002D5F4F" w:rsidRDefault="002D5F4F" w:rsidP="000D140D">
            <w:pPr>
              <w:rPr>
                <w:rFonts w:cs="Arial"/>
                <w:sz w:val="20"/>
              </w:rPr>
            </w:pPr>
          </w:p>
          <w:p w14:paraId="72562331" w14:textId="77777777" w:rsidR="002D5F4F" w:rsidRDefault="002D5F4F" w:rsidP="000D140D">
            <w:pPr>
              <w:rPr>
                <w:rFonts w:cs="Arial"/>
                <w:sz w:val="20"/>
              </w:rPr>
            </w:pPr>
            <w:r>
              <w:rPr>
                <w:rFonts w:cs="Arial"/>
                <w:sz w:val="20"/>
              </w:rPr>
              <w:t xml:space="preserve">The council has appointed a committee of members who specialise in the affairs of this charity, and whom seek to disseminate information to remaining members. </w:t>
            </w:r>
          </w:p>
          <w:p w14:paraId="6D90F573" w14:textId="77777777" w:rsidR="002D5F4F" w:rsidRPr="00181B01" w:rsidRDefault="002D5F4F" w:rsidP="000D140D">
            <w:pPr>
              <w:rPr>
                <w:rFonts w:cs="Arial"/>
                <w:sz w:val="20"/>
              </w:rPr>
            </w:pPr>
          </w:p>
        </w:tc>
      </w:tr>
      <w:tr w:rsidR="002D5F4F" w:rsidRPr="00C54651" w14:paraId="4926574D" w14:textId="77777777" w:rsidTr="000D140D">
        <w:tc>
          <w:tcPr>
            <w:tcW w:w="3080" w:type="dxa"/>
          </w:tcPr>
          <w:p w14:paraId="47C6C4C2" w14:textId="77777777" w:rsidR="002D5F4F" w:rsidRPr="00C54651" w:rsidRDefault="002D5F4F" w:rsidP="000D140D">
            <w:pPr>
              <w:rPr>
                <w:rFonts w:ascii="Arial" w:hAnsi="Arial" w:cs="Arial"/>
              </w:rPr>
            </w:pPr>
            <w:r w:rsidRPr="00C54651">
              <w:rPr>
                <w:rFonts w:ascii="Arial" w:hAnsi="Arial" w:cs="Arial"/>
              </w:rPr>
              <w:t>The charity’s organisational structure and any wider network with which the charity works</w:t>
            </w:r>
          </w:p>
          <w:p w14:paraId="2F772D34" w14:textId="77777777" w:rsidR="002D5F4F" w:rsidRPr="00C54651" w:rsidRDefault="002D5F4F" w:rsidP="000D140D">
            <w:pPr>
              <w:rPr>
                <w:rFonts w:ascii="Arial" w:hAnsi="Arial" w:cs="Arial"/>
              </w:rPr>
            </w:pPr>
          </w:p>
          <w:p w14:paraId="0A0DFEDB" w14:textId="77777777" w:rsidR="002D5F4F" w:rsidRPr="00C54651" w:rsidRDefault="002D5F4F" w:rsidP="000D140D">
            <w:pPr>
              <w:rPr>
                <w:rFonts w:ascii="Arial" w:hAnsi="Arial" w:cs="Arial"/>
              </w:rPr>
            </w:pPr>
          </w:p>
        </w:tc>
        <w:tc>
          <w:tcPr>
            <w:tcW w:w="1564" w:type="dxa"/>
          </w:tcPr>
          <w:p w14:paraId="55F6DEAA" w14:textId="77777777" w:rsidR="002D5F4F" w:rsidRPr="00C54651" w:rsidRDefault="002D5F4F" w:rsidP="000D140D">
            <w:pPr>
              <w:rPr>
                <w:rFonts w:ascii="Arial" w:hAnsi="Arial" w:cs="Arial"/>
                <w:sz w:val="16"/>
                <w:szCs w:val="16"/>
              </w:rPr>
            </w:pPr>
            <w:r w:rsidRPr="00C54651">
              <w:rPr>
                <w:rFonts w:ascii="Arial" w:hAnsi="Arial" w:cs="Arial"/>
                <w:sz w:val="16"/>
                <w:szCs w:val="16"/>
              </w:rPr>
              <w:t>Para 1.51</w:t>
            </w:r>
          </w:p>
        </w:tc>
        <w:tc>
          <w:tcPr>
            <w:tcW w:w="4598" w:type="dxa"/>
          </w:tcPr>
          <w:p w14:paraId="7AC9080E" w14:textId="77777777" w:rsidR="002D5F4F" w:rsidRDefault="002D5F4F" w:rsidP="000D140D">
            <w:pPr>
              <w:rPr>
                <w:rFonts w:cs="Arial"/>
                <w:bCs/>
                <w:sz w:val="20"/>
              </w:rPr>
            </w:pPr>
            <w:r w:rsidRPr="00B47F3D">
              <w:rPr>
                <w:rFonts w:cs="Arial"/>
                <w:sz w:val="20"/>
              </w:rPr>
              <w:t xml:space="preserve">Pitstone Parish Council, as Corporate Body, is the Sole Trustee.  </w:t>
            </w:r>
            <w:r w:rsidRPr="00B47F3D">
              <w:rPr>
                <w:rFonts w:cs="Arial"/>
                <w:bCs/>
                <w:sz w:val="20"/>
              </w:rPr>
              <w:t xml:space="preserve">Persuant to S101(1) of the 1972 Act Pitstone Parish Council resolved that the affairs of the Pitstone Parish Charity will be managed by a committee to ensure it is easier for members to fulfil their obligations to only consider what is in the best interests of the charity and not the local authority, and limiting conflicts of interest.   </w:t>
            </w:r>
          </w:p>
          <w:p w14:paraId="0D46FB4C" w14:textId="77777777" w:rsidR="002D5F4F" w:rsidRDefault="002D5F4F" w:rsidP="000D140D">
            <w:pPr>
              <w:rPr>
                <w:rFonts w:cs="Arial"/>
                <w:bCs/>
                <w:sz w:val="20"/>
              </w:rPr>
            </w:pPr>
          </w:p>
          <w:p w14:paraId="77234FF9" w14:textId="77777777" w:rsidR="002D5F4F" w:rsidRDefault="002D5F4F" w:rsidP="000D140D">
            <w:pPr>
              <w:rPr>
                <w:rFonts w:cs="Arial"/>
                <w:sz w:val="20"/>
              </w:rPr>
            </w:pPr>
            <w:r w:rsidRPr="00B47F3D">
              <w:rPr>
                <w:rFonts w:cs="Arial"/>
                <w:sz w:val="20"/>
              </w:rPr>
              <w:t xml:space="preserve">The </w:t>
            </w:r>
            <w:r>
              <w:rPr>
                <w:rFonts w:cs="Arial"/>
                <w:sz w:val="20"/>
              </w:rPr>
              <w:t xml:space="preserve">charity </w:t>
            </w:r>
            <w:r w:rsidRPr="00B47F3D">
              <w:rPr>
                <w:rFonts w:cs="Arial"/>
                <w:sz w:val="20"/>
              </w:rPr>
              <w:t xml:space="preserve">committee provide regular reports to the </w:t>
            </w:r>
            <w:r>
              <w:rPr>
                <w:rFonts w:cs="Arial"/>
                <w:sz w:val="20"/>
              </w:rPr>
              <w:t xml:space="preserve">full </w:t>
            </w:r>
            <w:r w:rsidRPr="00B47F3D">
              <w:rPr>
                <w:rFonts w:cs="Arial"/>
                <w:sz w:val="20"/>
              </w:rPr>
              <w:t>parish council</w:t>
            </w:r>
            <w:r>
              <w:rPr>
                <w:rFonts w:cs="Arial"/>
                <w:sz w:val="20"/>
              </w:rPr>
              <w:t xml:space="preserve"> in its role as sole trustee</w:t>
            </w:r>
            <w:r w:rsidRPr="00B47F3D">
              <w:rPr>
                <w:rFonts w:cs="Arial"/>
                <w:sz w:val="20"/>
              </w:rPr>
              <w:t>.  All strategic issues or financial expenditure must be referred back to the full council</w:t>
            </w:r>
            <w:r>
              <w:rPr>
                <w:rFonts w:cs="Arial"/>
                <w:sz w:val="20"/>
              </w:rPr>
              <w:t>, in its capacity as trustee,</w:t>
            </w:r>
            <w:r w:rsidRPr="00B47F3D">
              <w:rPr>
                <w:rFonts w:cs="Arial"/>
                <w:sz w:val="20"/>
              </w:rPr>
              <w:t xml:space="preserve"> for approval.</w:t>
            </w:r>
          </w:p>
          <w:p w14:paraId="20BFFA98" w14:textId="77777777" w:rsidR="002D5F4F" w:rsidRDefault="002D5F4F" w:rsidP="000D140D">
            <w:pPr>
              <w:rPr>
                <w:rFonts w:cs="Arial"/>
                <w:sz w:val="20"/>
              </w:rPr>
            </w:pPr>
          </w:p>
          <w:p w14:paraId="7FFD6BDC" w14:textId="77777777" w:rsidR="002D5F4F" w:rsidRDefault="002D5F4F" w:rsidP="000D140D">
            <w:pPr>
              <w:rPr>
                <w:rFonts w:cs="Arial"/>
                <w:sz w:val="20"/>
              </w:rPr>
            </w:pPr>
            <w:r>
              <w:rPr>
                <w:rFonts w:cs="Arial"/>
                <w:sz w:val="20"/>
              </w:rPr>
              <w:t>Meeting of the charity are always separate from meetings of the council and are separately documented.</w:t>
            </w:r>
          </w:p>
          <w:p w14:paraId="381FE48A" w14:textId="77777777" w:rsidR="002D5F4F" w:rsidRDefault="002D5F4F" w:rsidP="000D140D">
            <w:pPr>
              <w:rPr>
                <w:rFonts w:cs="Arial"/>
                <w:sz w:val="20"/>
              </w:rPr>
            </w:pPr>
          </w:p>
          <w:p w14:paraId="3A8F414C" w14:textId="77777777" w:rsidR="002D5F4F" w:rsidRPr="00B47F3D" w:rsidRDefault="002D5F4F" w:rsidP="000D140D">
            <w:pPr>
              <w:rPr>
                <w:rFonts w:cs="Arial"/>
                <w:sz w:val="20"/>
              </w:rPr>
            </w:pPr>
            <w:r>
              <w:rPr>
                <w:rFonts w:cs="Arial"/>
                <w:sz w:val="20"/>
              </w:rPr>
              <w:t>The charity has its own legal and professional advisors.</w:t>
            </w:r>
          </w:p>
          <w:p w14:paraId="24C8DF2C" w14:textId="77777777" w:rsidR="002D5F4F" w:rsidRPr="00C54651" w:rsidRDefault="002D5F4F" w:rsidP="000D140D">
            <w:pPr>
              <w:rPr>
                <w:rFonts w:ascii="Arial" w:hAnsi="Arial" w:cs="Arial"/>
                <w:b/>
              </w:rPr>
            </w:pPr>
          </w:p>
        </w:tc>
      </w:tr>
    </w:tbl>
    <w:p w14:paraId="5EF00747" w14:textId="77777777" w:rsidR="002D5F4F" w:rsidRDefault="002D5F4F" w:rsidP="00480FAE">
      <w:pPr>
        <w:spacing w:after="0" w:line="240" w:lineRule="auto"/>
        <w:rPr>
          <w:rFonts w:ascii="Arial" w:hAnsi="Arial" w:cs="Arial"/>
          <w:b/>
          <w:sz w:val="28"/>
          <w:szCs w:val="28"/>
        </w:rPr>
      </w:pPr>
    </w:p>
    <w:p w14:paraId="3954149F" w14:textId="77777777" w:rsidR="002D5F4F" w:rsidRDefault="002D5F4F" w:rsidP="00480FAE">
      <w:pPr>
        <w:spacing w:after="0" w:line="240" w:lineRule="auto"/>
        <w:rPr>
          <w:rFonts w:ascii="Arial" w:hAnsi="Arial" w:cs="Arial"/>
          <w:b/>
          <w:sz w:val="28"/>
          <w:szCs w:val="28"/>
        </w:rPr>
      </w:pPr>
    </w:p>
    <w:p w14:paraId="69A7EBD4"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14:paraId="6A0F1C93" w14:textId="77777777"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0D2D98EF" w14:textId="77777777" w:rsidTr="00540BAE">
        <w:tc>
          <w:tcPr>
            <w:tcW w:w="3080" w:type="dxa"/>
          </w:tcPr>
          <w:p w14:paraId="60C81735" w14:textId="77777777" w:rsidR="00540BAE" w:rsidRPr="00657F07" w:rsidRDefault="00540BAE" w:rsidP="00480FAE">
            <w:pPr>
              <w:rPr>
                <w:rFonts w:ascii="Arial" w:hAnsi="Arial" w:cs="Arial"/>
                <w:highlight w:val="yellow"/>
              </w:rPr>
            </w:pPr>
          </w:p>
        </w:tc>
        <w:tc>
          <w:tcPr>
            <w:tcW w:w="1564" w:type="dxa"/>
          </w:tcPr>
          <w:p w14:paraId="772F23FE"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6684BC02" w14:textId="77777777" w:rsidR="00540BAE" w:rsidRDefault="00540BAE" w:rsidP="00480FAE">
            <w:pPr>
              <w:rPr>
                <w:rFonts w:ascii="Arial" w:hAnsi="Arial" w:cs="Arial"/>
                <w:b/>
              </w:rPr>
            </w:pPr>
          </w:p>
        </w:tc>
      </w:tr>
      <w:tr w:rsidR="00480FAE" w14:paraId="5616FC09" w14:textId="77777777" w:rsidTr="00540BAE">
        <w:tc>
          <w:tcPr>
            <w:tcW w:w="3080" w:type="dxa"/>
          </w:tcPr>
          <w:p w14:paraId="2950B422" w14:textId="77777777"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14:paraId="181B55BE" w14:textId="77777777"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14:paraId="6BB5283F" w14:textId="77777777" w:rsidR="00253D1E" w:rsidRPr="00B47F3D" w:rsidRDefault="00253D1E" w:rsidP="00253D1E">
            <w:pPr>
              <w:rPr>
                <w:rFonts w:cs="Arial"/>
                <w:sz w:val="20"/>
              </w:rPr>
            </w:pPr>
            <w:r w:rsidRPr="00B47F3D">
              <w:rPr>
                <w:rFonts w:cs="Arial"/>
                <w:sz w:val="20"/>
              </w:rPr>
              <w:t>The aim of the Pitstone Parish Charity (as defined in 2004) is for the relief of persons resident in the area of benefit who are in need, hardship or distress by:</w:t>
            </w:r>
          </w:p>
          <w:p w14:paraId="1FD5EB01" w14:textId="77777777" w:rsidR="00253D1E" w:rsidRPr="00B47F3D" w:rsidRDefault="00253D1E" w:rsidP="00253D1E">
            <w:pPr>
              <w:rPr>
                <w:rFonts w:cs="Arial"/>
                <w:sz w:val="20"/>
              </w:rPr>
            </w:pPr>
          </w:p>
          <w:p w14:paraId="6CA5516A" w14:textId="77777777" w:rsidR="00253D1E" w:rsidRPr="00B47F3D" w:rsidRDefault="00253D1E" w:rsidP="00253D1E">
            <w:pPr>
              <w:numPr>
                <w:ilvl w:val="0"/>
                <w:numId w:val="4"/>
              </w:numPr>
              <w:rPr>
                <w:rFonts w:cs="Arial"/>
                <w:sz w:val="20"/>
              </w:rPr>
            </w:pPr>
            <w:r w:rsidRPr="00B47F3D">
              <w:rPr>
                <w:rFonts w:cs="Arial"/>
                <w:sz w:val="20"/>
              </w:rPr>
              <w:t>Making grants of money to them, or</w:t>
            </w:r>
          </w:p>
          <w:p w14:paraId="1D31375C" w14:textId="77777777" w:rsidR="00253D1E" w:rsidRPr="00B47F3D" w:rsidRDefault="00253D1E" w:rsidP="00253D1E">
            <w:pPr>
              <w:numPr>
                <w:ilvl w:val="0"/>
                <w:numId w:val="4"/>
              </w:numPr>
              <w:rPr>
                <w:rFonts w:cs="Arial"/>
                <w:sz w:val="20"/>
              </w:rPr>
            </w:pPr>
            <w:r w:rsidRPr="00B47F3D">
              <w:rPr>
                <w:rFonts w:cs="Arial"/>
                <w:sz w:val="20"/>
              </w:rPr>
              <w:t>Providing or paying for goods, services or facilities for them or</w:t>
            </w:r>
          </w:p>
          <w:p w14:paraId="042594F9" w14:textId="77777777" w:rsidR="00253D1E" w:rsidRPr="00B47F3D" w:rsidRDefault="00253D1E" w:rsidP="00253D1E">
            <w:pPr>
              <w:numPr>
                <w:ilvl w:val="0"/>
                <w:numId w:val="4"/>
              </w:numPr>
              <w:rPr>
                <w:rFonts w:cs="Arial"/>
                <w:sz w:val="20"/>
              </w:rPr>
            </w:pPr>
            <w:r w:rsidRPr="00B47F3D">
              <w:rPr>
                <w:rFonts w:cs="Arial"/>
                <w:sz w:val="20"/>
              </w:rPr>
              <w:t>Making grants of money to other persons or bodies who provide goods, services or facilities to those in need.</w:t>
            </w:r>
          </w:p>
          <w:p w14:paraId="30D0D20D" w14:textId="77777777" w:rsidR="00480FAE" w:rsidRDefault="00480FAE" w:rsidP="00480FAE">
            <w:pPr>
              <w:rPr>
                <w:rFonts w:ascii="Arial" w:hAnsi="Arial" w:cs="Arial"/>
                <w:b/>
              </w:rPr>
            </w:pPr>
          </w:p>
        </w:tc>
      </w:tr>
      <w:tr w:rsidR="00480FAE" w14:paraId="2533B08F" w14:textId="77777777" w:rsidTr="00540BAE">
        <w:tc>
          <w:tcPr>
            <w:tcW w:w="3080" w:type="dxa"/>
          </w:tcPr>
          <w:p w14:paraId="4ACFD1C4" w14:textId="77777777"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14:paraId="21AF26A5" w14:textId="77777777"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14:paraId="576A44A2" w14:textId="77777777" w:rsidR="00253D1E" w:rsidRDefault="00253D1E" w:rsidP="00253D1E">
            <w:pPr>
              <w:rPr>
                <w:rFonts w:cs="Arial"/>
                <w:sz w:val="20"/>
              </w:rPr>
            </w:pPr>
            <w:r w:rsidRPr="00B47F3D">
              <w:rPr>
                <w:rFonts w:cs="Arial"/>
                <w:sz w:val="20"/>
              </w:rPr>
              <w:t xml:space="preserve">These objectives can only be undertaken </w:t>
            </w:r>
            <w:r>
              <w:rPr>
                <w:rFonts w:cs="Arial"/>
                <w:sz w:val="20"/>
              </w:rPr>
              <w:t>once the charitable</w:t>
            </w:r>
            <w:r w:rsidRPr="00B47F3D">
              <w:rPr>
                <w:rFonts w:cs="Arial"/>
                <w:sz w:val="20"/>
              </w:rPr>
              <w:t xml:space="preserve"> land is sold for development and the charity has funds available to make such grants.</w:t>
            </w:r>
          </w:p>
          <w:p w14:paraId="22D7D9A3" w14:textId="77777777" w:rsidR="00253D1E" w:rsidRPr="00B47F3D" w:rsidRDefault="00253D1E" w:rsidP="00253D1E">
            <w:pPr>
              <w:rPr>
                <w:rFonts w:cs="Arial"/>
                <w:sz w:val="20"/>
              </w:rPr>
            </w:pPr>
          </w:p>
          <w:p w14:paraId="4DC51370" w14:textId="77777777" w:rsidR="00253D1E" w:rsidRDefault="00253D1E" w:rsidP="00480FAE">
            <w:pPr>
              <w:rPr>
                <w:rFonts w:cs="Arial"/>
                <w:sz w:val="20"/>
              </w:rPr>
            </w:pPr>
            <w:r w:rsidRPr="00B47F3D">
              <w:rPr>
                <w:rFonts w:cs="Arial"/>
                <w:sz w:val="20"/>
              </w:rPr>
              <w:t xml:space="preserve">The charity is working with a neighbouring private landowner to bring the parcel of land within its ownership, and within the previously defined Pitstone Development Area, to market.  </w:t>
            </w:r>
            <w:r w:rsidR="00A04672">
              <w:rPr>
                <w:rFonts w:cs="Arial"/>
                <w:sz w:val="20"/>
              </w:rPr>
              <w:t xml:space="preserve">The appointed developer, Nicholas King, submitted planning to AVDC in April 2017.  Outline planning permission has been granted for a public house and day nursery.  Grant of full planning relating to residential and community uses </w:t>
            </w:r>
            <w:r w:rsidR="00B536FF">
              <w:rPr>
                <w:rFonts w:cs="Arial"/>
                <w:sz w:val="20"/>
              </w:rPr>
              <w:t>was granted in December 2018.</w:t>
            </w:r>
            <w:r w:rsidR="00A04672">
              <w:rPr>
                <w:rFonts w:cs="Arial"/>
                <w:sz w:val="20"/>
              </w:rPr>
              <w:t xml:space="preserve">  </w:t>
            </w:r>
            <w:r w:rsidR="00B536FF">
              <w:rPr>
                <w:rFonts w:cs="Arial"/>
                <w:sz w:val="20"/>
              </w:rPr>
              <w:t>The parties are currently in negotiation regarding the sale terms.</w:t>
            </w:r>
          </w:p>
          <w:p w14:paraId="1C8785A2" w14:textId="77777777" w:rsidR="00253D1E" w:rsidRDefault="00253D1E" w:rsidP="00480FAE">
            <w:pPr>
              <w:rPr>
                <w:rFonts w:cs="Arial"/>
                <w:sz w:val="20"/>
              </w:rPr>
            </w:pPr>
          </w:p>
          <w:p w14:paraId="161E5871" w14:textId="77777777" w:rsidR="00480FAE" w:rsidRDefault="00253D1E" w:rsidP="00480FAE">
            <w:pPr>
              <w:rPr>
                <w:rFonts w:ascii="Arial" w:hAnsi="Arial" w:cs="Arial"/>
                <w:b/>
              </w:rPr>
            </w:pPr>
            <w:r w:rsidRPr="00B47F3D">
              <w:rPr>
                <w:rFonts w:cs="Arial"/>
                <w:sz w:val="20"/>
              </w:rPr>
              <w:t>The sale will generate funds with which the Charity can fulfil its charitable objectives.</w:t>
            </w:r>
            <w:r>
              <w:rPr>
                <w:rFonts w:cs="Arial"/>
                <w:sz w:val="20"/>
              </w:rPr>
              <w:t xml:space="preserve">  </w:t>
            </w:r>
          </w:p>
        </w:tc>
      </w:tr>
      <w:tr w:rsidR="00480FAE" w14:paraId="27CFFE7B" w14:textId="77777777" w:rsidTr="00540BAE">
        <w:tc>
          <w:tcPr>
            <w:tcW w:w="3080" w:type="dxa"/>
          </w:tcPr>
          <w:p w14:paraId="4B0918B1" w14:textId="77777777"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14:paraId="370527BA" w14:textId="77777777"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14:paraId="5BD1D3D9" w14:textId="77777777" w:rsidR="00253D1E" w:rsidRPr="00B47F3D" w:rsidRDefault="00253D1E" w:rsidP="00253D1E">
            <w:pPr>
              <w:rPr>
                <w:rFonts w:cs="Arial"/>
                <w:sz w:val="20"/>
              </w:rPr>
            </w:pPr>
            <w:r w:rsidRPr="00B47F3D">
              <w:rPr>
                <w:rFonts w:cs="Arial"/>
                <w:sz w:val="20"/>
              </w:rPr>
              <w:t>Pursuant to Section 17(5) of the Charities Act and the Charities (Accounts and Reports) Regulations 2008 the Charity Trustee has taken due regard of the guidance on public benefit issued by the Charity Commission when exercising its duties.</w:t>
            </w:r>
          </w:p>
          <w:p w14:paraId="1BB91E66" w14:textId="77777777" w:rsidR="00480FAE" w:rsidRDefault="00480FAE" w:rsidP="00480FAE">
            <w:pPr>
              <w:rPr>
                <w:rFonts w:ascii="Arial" w:hAnsi="Arial" w:cs="Arial"/>
                <w:b/>
              </w:rPr>
            </w:pPr>
          </w:p>
        </w:tc>
      </w:tr>
    </w:tbl>
    <w:p w14:paraId="71627CD6" w14:textId="77777777" w:rsidR="00B50803" w:rsidRDefault="00B50803" w:rsidP="00480FAE">
      <w:pPr>
        <w:spacing w:after="0" w:line="240" w:lineRule="auto"/>
        <w:rPr>
          <w:rFonts w:ascii="Arial" w:hAnsi="Arial" w:cs="Arial"/>
          <w:b/>
        </w:rPr>
      </w:pPr>
    </w:p>
    <w:p w14:paraId="6A5C1ADF" w14:textId="77777777" w:rsidR="00480FAE" w:rsidRDefault="00D222A0" w:rsidP="00492ED9">
      <w:pPr>
        <w:rPr>
          <w:rFonts w:ascii="Arial" w:hAnsi="Arial" w:cs="Arial"/>
          <w:b/>
        </w:rPr>
      </w:pPr>
      <w:r>
        <w:rPr>
          <w:rFonts w:ascii="Arial" w:hAnsi="Arial" w:cs="Arial"/>
          <w:b/>
        </w:rPr>
        <w:t>Additional information (optional)</w:t>
      </w:r>
    </w:p>
    <w:p w14:paraId="6A7FC409" w14:textId="77777777" w:rsidR="00B27A7F" w:rsidRPr="00AC1F36" w:rsidRDefault="00B27A7F" w:rsidP="00AC1F36">
      <w:pPr>
        <w:spacing w:after="0" w:line="240" w:lineRule="auto"/>
        <w:rPr>
          <w:rFonts w:ascii="Arial" w:hAnsi="Arial" w:cs="Arial"/>
        </w:rPr>
      </w:pPr>
      <w:r>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540BAE" w14:paraId="3BFE5D9E" w14:textId="77777777" w:rsidTr="00540BAE">
        <w:tc>
          <w:tcPr>
            <w:tcW w:w="3080" w:type="dxa"/>
          </w:tcPr>
          <w:p w14:paraId="4290841B" w14:textId="77777777" w:rsidR="00540BAE" w:rsidRPr="00AC1F36" w:rsidRDefault="00540BAE" w:rsidP="00552EE9">
            <w:pPr>
              <w:rPr>
                <w:rFonts w:ascii="Arial" w:hAnsi="Arial" w:cs="Arial"/>
                <w:highlight w:val="yellow"/>
              </w:rPr>
            </w:pPr>
          </w:p>
        </w:tc>
        <w:tc>
          <w:tcPr>
            <w:tcW w:w="1564" w:type="dxa"/>
          </w:tcPr>
          <w:p w14:paraId="3D28DCCC" w14:textId="77777777" w:rsidR="00540BAE" w:rsidRPr="00540BAE" w:rsidRDefault="00540BAE" w:rsidP="00552EE9">
            <w:pPr>
              <w:rPr>
                <w:rFonts w:ascii="Arial" w:hAnsi="Arial" w:cs="Arial"/>
                <w:sz w:val="16"/>
                <w:szCs w:val="16"/>
              </w:rPr>
            </w:pPr>
            <w:r w:rsidRPr="00540BAE">
              <w:rPr>
                <w:rFonts w:ascii="Arial" w:hAnsi="Arial" w:cs="Arial"/>
                <w:sz w:val="16"/>
                <w:szCs w:val="16"/>
              </w:rPr>
              <w:t>SORP reference</w:t>
            </w:r>
          </w:p>
        </w:tc>
        <w:tc>
          <w:tcPr>
            <w:tcW w:w="4598" w:type="dxa"/>
          </w:tcPr>
          <w:p w14:paraId="63AB418B" w14:textId="77777777" w:rsidR="00540BAE" w:rsidRDefault="00540BAE" w:rsidP="00552EE9">
            <w:pPr>
              <w:rPr>
                <w:rFonts w:ascii="Arial" w:hAnsi="Arial" w:cs="Arial"/>
                <w:b/>
              </w:rPr>
            </w:pPr>
          </w:p>
        </w:tc>
      </w:tr>
      <w:tr w:rsidR="00AC1F36" w14:paraId="3306A0DF" w14:textId="77777777" w:rsidTr="00540BAE">
        <w:tc>
          <w:tcPr>
            <w:tcW w:w="3080" w:type="dxa"/>
          </w:tcPr>
          <w:p w14:paraId="285A545C" w14:textId="77777777" w:rsidR="00AC1F36" w:rsidRPr="00C54651" w:rsidRDefault="00AC1F36" w:rsidP="00552EE9">
            <w:pPr>
              <w:rPr>
                <w:rFonts w:ascii="Arial" w:hAnsi="Arial" w:cs="Arial"/>
              </w:rPr>
            </w:pPr>
            <w:r w:rsidRPr="00C54651">
              <w:rPr>
                <w:rFonts w:ascii="Arial" w:hAnsi="Arial" w:cs="Arial"/>
              </w:rPr>
              <w:t>Policy on grant making</w:t>
            </w:r>
          </w:p>
          <w:p w14:paraId="2C631EB8" w14:textId="77777777" w:rsidR="00AC1F36" w:rsidRPr="00C54651" w:rsidRDefault="00AC1F36" w:rsidP="00552EE9">
            <w:pPr>
              <w:rPr>
                <w:rFonts w:ascii="Arial" w:hAnsi="Arial" w:cs="Arial"/>
              </w:rPr>
            </w:pPr>
          </w:p>
        </w:tc>
        <w:tc>
          <w:tcPr>
            <w:tcW w:w="1564" w:type="dxa"/>
          </w:tcPr>
          <w:p w14:paraId="719E55C1"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624CAFF1" w14:textId="77777777" w:rsidR="00AC1F36" w:rsidRDefault="00253D1E" w:rsidP="00253D1E">
            <w:pPr>
              <w:rPr>
                <w:rFonts w:ascii="Arial" w:hAnsi="Arial" w:cs="Arial"/>
                <w:b/>
              </w:rPr>
            </w:pPr>
            <w:r>
              <w:rPr>
                <w:rFonts w:cs="Arial"/>
                <w:sz w:val="20"/>
              </w:rPr>
              <w:t>To be determined once in a position to provide grants.</w:t>
            </w:r>
          </w:p>
        </w:tc>
      </w:tr>
      <w:tr w:rsidR="00AC1F36" w14:paraId="0D55E90A" w14:textId="77777777" w:rsidTr="00540BAE">
        <w:tc>
          <w:tcPr>
            <w:tcW w:w="3080" w:type="dxa"/>
          </w:tcPr>
          <w:p w14:paraId="20564934" w14:textId="77777777" w:rsidR="00AC1F36" w:rsidRPr="00C54651" w:rsidRDefault="00AC1F36" w:rsidP="006F6805">
            <w:pPr>
              <w:rPr>
                <w:rFonts w:ascii="Arial" w:hAnsi="Arial" w:cs="Arial"/>
              </w:rPr>
            </w:pPr>
            <w:r w:rsidRPr="00C54651">
              <w:rPr>
                <w:rFonts w:ascii="Arial" w:hAnsi="Arial" w:cs="Arial"/>
              </w:rPr>
              <w:t>Policy on social investment including program related investment</w:t>
            </w:r>
          </w:p>
        </w:tc>
        <w:tc>
          <w:tcPr>
            <w:tcW w:w="1564" w:type="dxa"/>
          </w:tcPr>
          <w:p w14:paraId="29432097"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0F460C63" w14:textId="77777777" w:rsidR="00AC1F36" w:rsidRDefault="00253D1E" w:rsidP="00253D1E">
            <w:pPr>
              <w:rPr>
                <w:rFonts w:ascii="Arial" w:hAnsi="Arial" w:cs="Arial"/>
                <w:b/>
              </w:rPr>
            </w:pPr>
            <w:r>
              <w:rPr>
                <w:rFonts w:cs="Arial"/>
                <w:sz w:val="20"/>
              </w:rPr>
              <w:t>To be determined once in receipt of funds.</w:t>
            </w:r>
          </w:p>
        </w:tc>
      </w:tr>
      <w:tr w:rsidR="00AC1F36" w14:paraId="4F8D78AA" w14:textId="77777777" w:rsidTr="00540BAE">
        <w:tc>
          <w:tcPr>
            <w:tcW w:w="3080" w:type="dxa"/>
          </w:tcPr>
          <w:p w14:paraId="33D9EB84" w14:textId="77777777" w:rsidR="00AC1F36" w:rsidRPr="00C54651" w:rsidRDefault="00AC1F36" w:rsidP="006F6805">
            <w:pPr>
              <w:rPr>
                <w:rFonts w:ascii="Arial" w:hAnsi="Arial" w:cs="Arial"/>
              </w:rPr>
            </w:pPr>
            <w:r w:rsidRPr="00C54651">
              <w:rPr>
                <w:rFonts w:ascii="Arial" w:hAnsi="Arial" w:cs="Arial"/>
              </w:rPr>
              <w:t>Contribution made by volunteers</w:t>
            </w:r>
          </w:p>
        </w:tc>
        <w:tc>
          <w:tcPr>
            <w:tcW w:w="1564" w:type="dxa"/>
          </w:tcPr>
          <w:p w14:paraId="4A2CFA59"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3A8D088A" w14:textId="77777777" w:rsidR="00AC1F36" w:rsidRDefault="00253D1E" w:rsidP="006F6805">
            <w:pPr>
              <w:numPr>
                <w:ilvl w:val="12"/>
                <w:numId w:val="0"/>
              </w:numPr>
              <w:rPr>
                <w:rFonts w:ascii="Arial" w:hAnsi="Arial" w:cs="Arial"/>
                <w:b/>
              </w:rPr>
            </w:pPr>
            <w:r w:rsidRPr="00B47F3D">
              <w:rPr>
                <w:rFonts w:cs="Arial"/>
                <w:sz w:val="20"/>
              </w:rPr>
              <w:t>All members of both the Charity Committee and the Full Parish Council are volunteers.  None claim an allowance or refund of any expenditure.</w:t>
            </w:r>
          </w:p>
        </w:tc>
      </w:tr>
    </w:tbl>
    <w:p w14:paraId="015AE622" w14:textId="77777777" w:rsidR="00A8188A" w:rsidRDefault="00A8188A" w:rsidP="00480FAE">
      <w:pPr>
        <w:spacing w:after="0" w:line="240" w:lineRule="auto"/>
        <w:rPr>
          <w:rFonts w:ascii="Arial" w:hAnsi="Arial" w:cs="Arial"/>
          <w:b/>
          <w:sz w:val="28"/>
          <w:szCs w:val="28"/>
        </w:rPr>
      </w:pPr>
    </w:p>
    <w:p w14:paraId="173B47B3" w14:textId="77777777" w:rsidR="00492ED9" w:rsidRDefault="00492ED9">
      <w:pPr>
        <w:rPr>
          <w:rFonts w:ascii="Arial" w:hAnsi="Arial" w:cs="Arial"/>
          <w:b/>
          <w:sz w:val="28"/>
          <w:szCs w:val="28"/>
        </w:rPr>
      </w:pPr>
      <w:r>
        <w:rPr>
          <w:rFonts w:ascii="Arial" w:hAnsi="Arial" w:cs="Arial"/>
          <w:b/>
          <w:sz w:val="28"/>
          <w:szCs w:val="28"/>
        </w:rPr>
        <w:br w:type="page"/>
      </w:r>
    </w:p>
    <w:p w14:paraId="583A4AFC" w14:textId="77777777"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lastRenderedPageBreak/>
        <w:t>Achievements and Performance</w:t>
      </w:r>
    </w:p>
    <w:p w14:paraId="4F5B8A4A" w14:textId="77777777"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2638B3D0" w14:textId="77777777" w:rsidTr="00540BAE">
        <w:trPr>
          <w:trHeight w:val="268"/>
        </w:trPr>
        <w:tc>
          <w:tcPr>
            <w:tcW w:w="3080" w:type="dxa"/>
          </w:tcPr>
          <w:p w14:paraId="05D507DC" w14:textId="77777777" w:rsidR="00540BAE" w:rsidRDefault="00540BAE" w:rsidP="00480FAE">
            <w:pPr>
              <w:rPr>
                <w:rFonts w:ascii="Arial" w:hAnsi="Arial" w:cs="Arial"/>
                <w:highlight w:val="yellow"/>
              </w:rPr>
            </w:pPr>
          </w:p>
        </w:tc>
        <w:tc>
          <w:tcPr>
            <w:tcW w:w="1564" w:type="dxa"/>
          </w:tcPr>
          <w:p w14:paraId="589B47A1"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5817DAFB" w14:textId="77777777" w:rsidR="00540BAE" w:rsidRDefault="00540BAE" w:rsidP="00480FAE">
            <w:pPr>
              <w:rPr>
                <w:rFonts w:ascii="Arial" w:hAnsi="Arial" w:cs="Arial"/>
                <w:b/>
              </w:rPr>
            </w:pPr>
          </w:p>
        </w:tc>
      </w:tr>
      <w:tr w:rsidR="002D7498" w:rsidRPr="00C54651" w14:paraId="5D17C838" w14:textId="77777777" w:rsidTr="00B536FF">
        <w:trPr>
          <w:trHeight w:val="3953"/>
        </w:trPr>
        <w:tc>
          <w:tcPr>
            <w:tcW w:w="3080" w:type="dxa"/>
          </w:tcPr>
          <w:p w14:paraId="68570A3A" w14:textId="77777777"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14:paraId="6E3040D6" w14:textId="77777777"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14:paraId="4C3455EA" w14:textId="77777777" w:rsidR="00A04672" w:rsidRDefault="004D1F11" w:rsidP="00B536FF">
            <w:pPr>
              <w:rPr>
                <w:rFonts w:cs="Calibri"/>
                <w:sz w:val="20"/>
                <w:szCs w:val="20"/>
              </w:rPr>
            </w:pPr>
            <w:r>
              <w:rPr>
                <w:rFonts w:cs="Arial"/>
                <w:sz w:val="20"/>
              </w:rPr>
              <w:t xml:space="preserve">Work continues on the sale of the land to enable fulfilment of objectives.  </w:t>
            </w:r>
            <w:r w:rsidR="00B536FF">
              <w:rPr>
                <w:rFonts w:cs="Arial"/>
                <w:sz w:val="20"/>
              </w:rPr>
              <w:br/>
            </w:r>
            <w:r w:rsidR="00B536FF">
              <w:rPr>
                <w:rFonts w:cs="Calibri"/>
                <w:sz w:val="20"/>
                <w:szCs w:val="20"/>
              </w:rPr>
              <w:br/>
            </w:r>
            <w:r w:rsidR="00A04672" w:rsidRPr="00A04672">
              <w:rPr>
                <w:rFonts w:cs="Calibri"/>
                <w:sz w:val="20"/>
                <w:szCs w:val="20"/>
              </w:rPr>
              <w:t>Full planning</w:t>
            </w:r>
            <w:r w:rsidR="00A04672">
              <w:rPr>
                <w:rFonts w:cs="Calibri"/>
                <w:sz w:val="20"/>
                <w:szCs w:val="20"/>
              </w:rPr>
              <w:t xml:space="preserve"> permission </w:t>
            </w:r>
            <w:r w:rsidR="00B536FF">
              <w:rPr>
                <w:rFonts w:cs="Calibri"/>
                <w:sz w:val="20"/>
                <w:szCs w:val="20"/>
              </w:rPr>
              <w:t xml:space="preserve">was granted to the developer by AVDC in December 2018 for the </w:t>
            </w:r>
            <w:r w:rsidR="00A04672">
              <w:rPr>
                <w:rFonts w:cs="Calibri"/>
                <w:sz w:val="20"/>
                <w:szCs w:val="20"/>
              </w:rPr>
              <w:t xml:space="preserve">residential and community aspects.  </w:t>
            </w:r>
          </w:p>
          <w:p w14:paraId="0ED0DBBC" w14:textId="77777777" w:rsidR="00B536FF" w:rsidRDefault="00B536FF" w:rsidP="00B536FF">
            <w:pPr>
              <w:rPr>
                <w:rFonts w:cs="Calibri"/>
                <w:sz w:val="20"/>
                <w:szCs w:val="20"/>
              </w:rPr>
            </w:pPr>
          </w:p>
          <w:p w14:paraId="7D8A7A15" w14:textId="77777777" w:rsidR="00B536FF" w:rsidRDefault="00B536FF" w:rsidP="00B536FF">
            <w:pPr>
              <w:rPr>
                <w:rFonts w:cs="Arial"/>
                <w:sz w:val="20"/>
              </w:rPr>
            </w:pPr>
            <w:r>
              <w:rPr>
                <w:rFonts w:cs="Arial"/>
                <w:sz w:val="20"/>
              </w:rPr>
              <w:t>The related S106 agreement was approved between AVDC and the developer.</w:t>
            </w:r>
          </w:p>
          <w:p w14:paraId="447A8013" w14:textId="77777777" w:rsidR="00B536FF" w:rsidRDefault="00B536FF" w:rsidP="00B536FF">
            <w:pPr>
              <w:rPr>
                <w:rFonts w:cs="Arial"/>
                <w:sz w:val="20"/>
              </w:rPr>
            </w:pPr>
          </w:p>
          <w:p w14:paraId="2A9029E7" w14:textId="77777777" w:rsidR="00B536FF" w:rsidRPr="00B536FF" w:rsidRDefault="00B536FF" w:rsidP="00B536FF">
            <w:pPr>
              <w:rPr>
                <w:rFonts w:cs="Arial"/>
                <w:sz w:val="20"/>
              </w:rPr>
            </w:pPr>
            <w:r>
              <w:rPr>
                <w:rFonts w:cs="Arial"/>
                <w:sz w:val="20"/>
              </w:rPr>
              <w:t>Negotiations now continue between the landowners and developer to conclude the sale.</w:t>
            </w:r>
          </w:p>
          <w:p w14:paraId="77A443F4" w14:textId="77777777" w:rsidR="0052203A" w:rsidRDefault="0052203A" w:rsidP="0052203A">
            <w:pPr>
              <w:rPr>
                <w:rFonts w:cs="Calibri"/>
                <w:sz w:val="20"/>
                <w:szCs w:val="20"/>
              </w:rPr>
            </w:pPr>
          </w:p>
          <w:p w14:paraId="73CFDAF4" w14:textId="77777777" w:rsidR="0052203A" w:rsidRDefault="0052203A" w:rsidP="0052203A">
            <w:pPr>
              <w:rPr>
                <w:rFonts w:cs="Calibri"/>
                <w:sz w:val="20"/>
                <w:szCs w:val="20"/>
              </w:rPr>
            </w:pPr>
            <w:r>
              <w:rPr>
                <w:rFonts w:cs="Calibri"/>
                <w:sz w:val="20"/>
                <w:szCs w:val="20"/>
              </w:rPr>
              <w:t>In the meantime, a small income was generated via the hire of charity land.</w:t>
            </w:r>
          </w:p>
          <w:p w14:paraId="080FB177" w14:textId="77777777" w:rsidR="0052203A" w:rsidRPr="00A04672" w:rsidRDefault="0052203A" w:rsidP="0052203A">
            <w:pPr>
              <w:rPr>
                <w:rFonts w:cs="Calibri"/>
                <w:sz w:val="20"/>
                <w:szCs w:val="20"/>
              </w:rPr>
            </w:pPr>
          </w:p>
        </w:tc>
      </w:tr>
    </w:tbl>
    <w:p w14:paraId="7468E9B4" w14:textId="77777777" w:rsidR="002D7498" w:rsidRPr="00C54651" w:rsidRDefault="002D7498" w:rsidP="00480FAE">
      <w:pPr>
        <w:spacing w:after="0" w:line="240" w:lineRule="auto"/>
        <w:rPr>
          <w:rFonts w:ascii="Arial" w:hAnsi="Arial" w:cs="Arial"/>
          <w:b/>
        </w:rPr>
      </w:pPr>
    </w:p>
    <w:p w14:paraId="77DA84AA" w14:textId="77777777" w:rsidR="00B536FF" w:rsidRDefault="00B536FF" w:rsidP="00B11710">
      <w:pPr>
        <w:rPr>
          <w:rFonts w:ascii="Arial" w:hAnsi="Arial" w:cs="Arial"/>
          <w:b/>
          <w:sz w:val="28"/>
          <w:szCs w:val="28"/>
        </w:rPr>
      </w:pPr>
    </w:p>
    <w:p w14:paraId="15206BB7" w14:textId="77777777" w:rsidR="00480FAE" w:rsidRPr="00E063C0" w:rsidRDefault="00480FAE" w:rsidP="00B11710">
      <w:pPr>
        <w:rPr>
          <w:rFonts w:ascii="Arial" w:hAnsi="Arial" w:cs="Arial"/>
          <w:b/>
          <w:sz w:val="28"/>
          <w:szCs w:val="28"/>
        </w:rPr>
      </w:pPr>
      <w:r w:rsidRPr="00E063C0">
        <w:rPr>
          <w:rFonts w:ascii="Arial" w:hAnsi="Arial" w:cs="Arial"/>
          <w:b/>
          <w:sz w:val="28"/>
          <w:szCs w:val="28"/>
        </w:rPr>
        <w:t>Financial Review</w:t>
      </w:r>
    </w:p>
    <w:p w14:paraId="17D10BFF" w14:textId="77777777"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01AD2" w:rsidRPr="00C54651" w14:paraId="0E7DBF6D" w14:textId="77777777" w:rsidTr="003B1FE1">
        <w:tc>
          <w:tcPr>
            <w:tcW w:w="3080" w:type="dxa"/>
          </w:tcPr>
          <w:p w14:paraId="49C5F82C" w14:textId="77777777"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14:paraId="4ACE9536" w14:textId="77777777"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14:paraId="723F21AA" w14:textId="77777777" w:rsidR="00252793" w:rsidRDefault="00B11710" w:rsidP="00480FAE">
            <w:pPr>
              <w:rPr>
                <w:rFonts w:cs="Arial"/>
                <w:sz w:val="20"/>
              </w:rPr>
            </w:pPr>
            <w:r>
              <w:rPr>
                <w:rFonts w:cs="Arial"/>
                <w:sz w:val="20"/>
              </w:rPr>
              <w:t xml:space="preserve">The charity </w:t>
            </w:r>
            <w:r w:rsidR="00292625">
              <w:rPr>
                <w:rFonts w:cs="Arial"/>
                <w:sz w:val="20"/>
              </w:rPr>
              <w:t xml:space="preserve">has its own bank account.  At present the charity </w:t>
            </w:r>
            <w:r w:rsidR="00CD7B3C">
              <w:rPr>
                <w:rFonts w:cs="Arial"/>
                <w:sz w:val="20"/>
              </w:rPr>
              <w:t xml:space="preserve">only </w:t>
            </w:r>
            <w:r>
              <w:rPr>
                <w:rFonts w:cs="Arial"/>
                <w:sz w:val="20"/>
              </w:rPr>
              <w:t>holds £</w:t>
            </w:r>
            <w:r w:rsidR="00B536FF">
              <w:rPr>
                <w:rFonts w:cs="Arial"/>
                <w:sz w:val="20"/>
              </w:rPr>
              <w:t xml:space="preserve">876.12.  A single </w:t>
            </w:r>
            <w:r w:rsidR="00252793">
              <w:rPr>
                <w:rFonts w:cs="Arial"/>
                <w:sz w:val="20"/>
              </w:rPr>
              <w:t>receipt of £</w:t>
            </w:r>
            <w:r w:rsidR="00B536FF">
              <w:rPr>
                <w:rFonts w:cs="Arial"/>
                <w:sz w:val="20"/>
              </w:rPr>
              <w:t>468.75</w:t>
            </w:r>
            <w:r w:rsidR="00252793">
              <w:rPr>
                <w:rFonts w:cs="Arial"/>
                <w:sz w:val="20"/>
              </w:rPr>
              <w:t xml:space="preserve"> </w:t>
            </w:r>
            <w:r w:rsidR="00B536FF">
              <w:rPr>
                <w:rFonts w:cs="Arial"/>
                <w:sz w:val="20"/>
              </w:rPr>
              <w:t xml:space="preserve">was received </w:t>
            </w:r>
            <w:r w:rsidR="00252793">
              <w:rPr>
                <w:rFonts w:cs="Arial"/>
                <w:sz w:val="20"/>
              </w:rPr>
              <w:t xml:space="preserve">for hire of the land.  </w:t>
            </w:r>
            <w:r w:rsidR="00B536FF">
              <w:rPr>
                <w:rFonts w:cs="Arial"/>
                <w:sz w:val="20"/>
              </w:rPr>
              <w:t>£202.35 was expended on room hire and hedge cutting</w:t>
            </w:r>
            <w:r w:rsidR="00252793">
              <w:rPr>
                <w:rFonts w:cs="Arial"/>
                <w:sz w:val="20"/>
              </w:rPr>
              <w:t>.</w:t>
            </w:r>
          </w:p>
          <w:p w14:paraId="7AFB69EB" w14:textId="77777777" w:rsidR="00252793" w:rsidRDefault="00252793" w:rsidP="00480FAE">
            <w:pPr>
              <w:rPr>
                <w:rFonts w:cs="Arial"/>
                <w:sz w:val="20"/>
              </w:rPr>
            </w:pPr>
          </w:p>
          <w:p w14:paraId="1A1B639F" w14:textId="77777777" w:rsidR="00201AD2" w:rsidRDefault="00CD7B3C" w:rsidP="00480FAE">
            <w:pPr>
              <w:rPr>
                <w:rFonts w:cs="Arial"/>
                <w:sz w:val="20"/>
              </w:rPr>
            </w:pPr>
            <w:r>
              <w:rPr>
                <w:rFonts w:cs="Arial"/>
                <w:sz w:val="20"/>
              </w:rPr>
              <w:t>Funds will become available following disposal of the land.  Liabilities incurred during this process eg legal fees, have been negotiated as payable upon completion.  The parish council has agreed to undertake any necessary ground maintenance under its open spaces program in the meantime.</w:t>
            </w:r>
          </w:p>
          <w:p w14:paraId="27C978FF" w14:textId="77777777" w:rsidR="00292625" w:rsidRDefault="00292625" w:rsidP="00480FAE">
            <w:pPr>
              <w:rPr>
                <w:rFonts w:cs="Arial"/>
                <w:sz w:val="20"/>
              </w:rPr>
            </w:pPr>
          </w:p>
          <w:p w14:paraId="773384E2" w14:textId="77777777" w:rsidR="00292625" w:rsidRPr="00C54651" w:rsidRDefault="00292625" w:rsidP="00292625">
            <w:pPr>
              <w:rPr>
                <w:rFonts w:ascii="Arial" w:hAnsi="Arial" w:cs="Arial"/>
                <w:b/>
              </w:rPr>
            </w:pPr>
            <w:r w:rsidRPr="00B47F3D">
              <w:rPr>
                <w:rFonts w:cs="Arial"/>
                <w:sz w:val="20"/>
              </w:rPr>
              <w:t>The parish council insurance specifies the trustees of this charity and their work as part of its policy.  The Parish Charity land is listed on the parish council’s asset register.</w:t>
            </w:r>
            <w:r w:rsidRPr="00B47F3D">
              <w:rPr>
                <w:rFonts w:cs="Arial"/>
                <w:sz w:val="20"/>
              </w:rPr>
              <w:br/>
            </w:r>
            <w:r w:rsidRPr="00B47F3D">
              <w:rPr>
                <w:rFonts w:cs="Arial"/>
                <w:sz w:val="20"/>
              </w:rPr>
              <w:br/>
              <w:t>The charity has no debtors or creditors and no outstanding loans.</w:t>
            </w:r>
          </w:p>
        </w:tc>
      </w:tr>
      <w:tr w:rsidR="00201AD2" w:rsidRPr="00C54651" w14:paraId="5262B1AB" w14:textId="77777777" w:rsidTr="003B1FE1">
        <w:tc>
          <w:tcPr>
            <w:tcW w:w="3080" w:type="dxa"/>
          </w:tcPr>
          <w:p w14:paraId="09256CAD" w14:textId="77777777" w:rsidR="00201AD2" w:rsidRPr="00C54651" w:rsidRDefault="002E514D" w:rsidP="00480FAE">
            <w:pPr>
              <w:rPr>
                <w:rFonts w:ascii="Arial" w:hAnsi="Arial" w:cs="Arial"/>
              </w:rPr>
            </w:pPr>
            <w:r w:rsidRPr="00C54651">
              <w:rPr>
                <w:rFonts w:ascii="Arial" w:hAnsi="Arial" w:cs="Arial"/>
              </w:rPr>
              <w:t xml:space="preserve">Statement explaining the policy for holding reserves stating why they </w:t>
            </w:r>
            <w:r w:rsidR="00260163" w:rsidRPr="00C54651">
              <w:rPr>
                <w:rFonts w:ascii="Arial" w:hAnsi="Arial" w:cs="Arial"/>
              </w:rPr>
              <w:t>are held</w:t>
            </w:r>
          </w:p>
        </w:tc>
        <w:tc>
          <w:tcPr>
            <w:tcW w:w="1564" w:type="dxa"/>
          </w:tcPr>
          <w:p w14:paraId="7BC6E589" w14:textId="77777777"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14:paraId="1860BDEB" w14:textId="77777777" w:rsidR="00201AD2" w:rsidRPr="00C54651" w:rsidRDefault="00CD7B3C" w:rsidP="00480FAE">
            <w:pPr>
              <w:rPr>
                <w:rFonts w:ascii="Arial" w:hAnsi="Arial" w:cs="Arial"/>
                <w:b/>
              </w:rPr>
            </w:pPr>
            <w:r>
              <w:rPr>
                <w:rFonts w:cs="Arial"/>
                <w:sz w:val="20"/>
              </w:rPr>
              <w:t>Not applicable at present</w:t>
            </w:r>
          </w:p>
        </w:tc>
      </w:tr>
      <w:tr w:rsidR="00260163" w:rsidRPr="00C54651" w14:paraId="19FA26B9" w14:textId="77777777" w:rsidTr="003B1FE1">
        <w:tc>
          <w:tcPr>
            <w:tcW w:w="3080" w:type="dxa"/>
          </w:tcPr>
          <w:p w14:paraId="2F46CA09" w14:textId="77777777"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14:paraId="49C177BD"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1E1B578B" w14:textId="77777777" w:rsidR="00260163" w:rsidRPr="00C54651" w:rsidRDefault="00CD7B3C" w:rsidP="00480FAE">
            <w:pPr>
              <w:rPr>
                <w:rFonts w:ascii="Arial" w:hAnsi="Arial" w:cs="Arial"/>
                <w:b/>
              </w:rPr>
            </w:pPr>
            <w:r>
              <w:rPr>
                <w:rFonts w:cs="Arial"/>
                <w:sz w:val="20"/>
              </w:rPr>
              <w:t>Zero</w:t>
            </w:r>
          </w:p>
        </w:tc>
      </w:tr>
      <w:tr w:rsidR="00260163" w:rsidRPr="00C54651" w14:paraId="78A71B6E" w14:textId="77777777" w:rsidTr="003B1FE1">
        <w:tc>
          <w:tcPr>
            <w:tcW w:w="3080" w:type="dxa"/>
          </w:tcPr>
          <w:p w14:paraId="2CAC35AA" w14:textId="77777777"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14:paraId="659385E9"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67851C9A" w14:textId="77777777" w:rsidR="00260163" w:rsidRPr="00C54651" w:rsidRDefault="00CD7B3C" w:rsidP="00480FAE">
            <w:pPr>
              <w:rPr>
                <w:rFonts w:ascii="Arial" w:hAnsi="Arial" w:cs="Arial"/>
                <w:b/>
              </w:rPr>
            </w:pPr>
            <w:r>
              <w:rPr>
                <w:rFonts w:cs="Arial"/>
                <w:sz w:val="20"/>
              </w:rPr>
              <w:t>The charity currently has no financial standing, just land ownership.</w:t>
            </w:r>
          </w:p>
        </w:tc>
      </w:tr>
      <w:tr w:rsidR="00201AD2" w:rsidRPr="00C54651" w14:paraId="6392BCE9" w14:textId="77777777" w:rsidTr="003B1FE1">
        <w:tc>
          <w:tcPr>
            <w:tcW w:w="3080" w:type="dxa"/>
          </w:tcPr>
          <w:p w14:paraId="3DD442D9" w14:textId="77777777"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14:paraId="13154A4A" w14:textId="77777777"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14:paraId="32CFA8FD" w14:textId="77777777" w:rsidR="00201AD2" w:rsidRPr="00C54651" w:rsidRDefault="00CD7B3C" w:rsidP="00480FAE">
            <w:pPr>
              <w:rPr>
                <w:rFonts w:ascii="Arial" w:hAnsi="Arial" w:cs="Arial"/>
                <w:b/>
              </w:rPr>
            </w:pPr>
            <w:r>
              <w:rPr>
                <w:rFonts w:cs="Arial"/>
                <w:sz w:val="20"/>
              </w:rPr>
              <w:t>Not applicable</w:t>
            </w:r>
          </w:p>
        </w:tc>
      </w:tr>
      <w:tr w:rsidR="00201AD2" w:rsidRPr="00C54651" w14:paraId="32C05363" w14:textId="77777777" w:rsidTr="003B1FE1">
        <w:tc>
          <w:tcPr>
            <w:tcW w:w="3080" w:type="dxa"/>
          </w:tcPr>
          <w:p w14:paraId="0F663008" w14:textId="77777777"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14:paraId="5E4D6045" w14:textId="77777777"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14:paraId="59732E33" w14:textId="77777777" w:rsidR="00201AD2" w:rsidRPr="00C54651" w:rsidRDefault="00CD7B3C" w:rsidP="00480FAE">
            <w:pPr>
              <w:rPr>
                <w:rFonts w:ascii="Arial" w:hAnsi="Arial" w:cs="Arial"/>
                <w:b/>
              </w:rPr>
            </w:pPr>
            <w:r>
              <w:rPr>
                <w:rFonts w:cs="Arial"/>
                <w:sz w:val="20"/>
              </w:rPr>
              <w:t xml:space="preserve">In order to comply with its objectives, the charity requires the grant of planning permission and the disposal of the land to complete.  </w:t>
            </w:r>
            <w:r w:rsidR="00656C05">
              <w:rPr>
                <w:rFonts w:cs="Arial"/>
                <w:sz w:val="20"/>
              </w:rPr>
              <w:t>This is ultimately outside the control of the charity.</w:t>
            </w:r>
          </w:p>
        </w:tc>
      </w:tr>
    </w:tbl>
    <w:p w14:paraId="174BD648" w14:textId="77777777" w:rsidR="004739FE" w:rsidRPr="00C54651" w:rsidRDefault="004739FE" w:rsidP="00480FAE">
      <w:pPr>
        <w:spacing w:after="0" w:line="240" w:lineRule="auto"/>
        <w:rPr>
          <w:rFonts w:ascii="Arial" w:hAnsi="Arial" w:cs="Arial"/>
          <w:b/>
        </w:rPr>
      </w:pPr>
    </w:p>
    <w:p w14:paraId="53684F6A" w14:textId="77777777" w:rsidR="00492ED9" w:rsidRDefault="00492ED9">
      <w:pPr>
        <w:rPr>
          <w:rFonts w:ascii="Arial" w:hAnsi="Arial" w:cs="Arial"/>
          <w:b/>
        </w:rPr>
      </w:pPr>
      <w:r>
        <w:rPr>
          <w:rFonts w:ascii="Arial" w:hAnsi="Arial" w:cs="Arial"/>
          <w:b/>
        </w:rPr>
        <w:br w:type="page"/>
      </w:r>
    </w:p>
    <w:p w14:paraId="63BB6561" w14:textId="77777777" w:rsidR="00D222A0" w:rsidRPr="00C54651" w:rsidRDefault="00D222A0" w:rsidP="00480FAE">
      <w:pPr>
        <w:spacing w:after="0" w:line="240" w:lineRule="auto"/>
        <w:rPr>
          <w:rFonts w:ascii="Arial" w:hAnsi="Arial" w:cs="Arial"/>
          <w:b/>
        </w:rPr>
      </w:pPr>
      <w:r w:rsidRPr="00C54651">
        <w:rPr>
          <w:rFonts w:ascii="Arial" w:hAnsi="Arial" w:cs="Arial"/>
          <w:b/>
        </w:rPr>
        <w:lastRenderedPageBreak/>
        <w:t>Additional information (optional)</w:t>
      </w:r>
    </w:p>
    <w:p w14:paraId="272D2C35" w14:textId="77777777" w:rsidR="00D222A0" w:rsidRPr="00C54651" w:rsidRDefault="00260163" w:rsidP="00480FA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4739FE" w:rsidRPr="00C54651" w14:paraId="0204A3FF" w14:textId="77777777" w:rsidTr="003B1FE1">
        <w:tc>
          <w:tcPr>
            <w:tcW w:w="3080" w:type="dxa"/>
          </w:tcPr>
          <w:p w14:paraId="0B05AB4C" w14:textId="77777777" w:rsidR="004739FE" w:rsidRPr="00C54651" w:rsidRDefault="004739FE" w:rsidP="006F6805">
            <w:pPr>
              <w:rPr>
                <w:rFonts w:ascii="Arial" w:hAnsi="Arial" w:cs="Arial"/>
              </w:rPr>
            </w:pPr>
            <w:r w:rsidRPr="00C54651">
              <w:rPr>
                <w:rFonts w:ascii="Arial" w:hAnsi="Arial" w:cs="Arial"/>
              </w:rPr>
              <w:t xml:space="preserve">The charity’s principal sources of funds (including any fundraising) </w:t>
            </w:r>
          </w:p>
        </w:tc>
        <w:tc>
          <w:tcPr>
            <w:tcW w:w="1564" w:type="dxa"/>
          </w:tcPr>
          <w:p w14:paraId="7389455E" w14:textId="77777777" w:rsidR="004739FE" w:rsidRPr="00C54651" w:rsidRDefault="004739FE" w:rsidP="003B1FE1">
            <w:pPr>
              <w:rPr>
                <w:rFonts w:ascii="Arial" w:hAnsi="Arial" w:cs="Arial"/>
                <w:sz w:val="16"/>
                <w:szCs w:val="16"/>
              </w:rPr>
            </w:pPr>
            <w:r w:rsidRPr="00C54651">
              <w:rPr>
                <w:rFonts w:ascii="Arial" w:hAnsi="Arial" w:cs="Arial"/>
                <w:sz w:val="16"/>
                <w:szCs w:val="16"/>
              </w:rPr>
              <w:t>Para 1.47</w:t>
            </w:r>
          </w:p>
        </w:tc>
        <w:tc>
          <w:tcPr>
            <w:tcW w:w="4598" w:type="dxa"/>
          </w:tcPr>
          <w:p w14:paraId="74372147" w14:textId="77777777" w:rsidR="004739FE" w:rsidRPr="00C54651" w:rsidRDefault="00656C05" w:rsidP="00552EE9">
            <w:pPr>
              <w:rPr>
                <w:rFonts w:ascii="Arial" w:hAnsi="Arial" w:cs="Arial"/>
                <w:b/>
              </w:rPr>
            </w:pPr>
            <w:r>
              <w:rPr>
                <w:rFonts w:cs="Arial"/>
                <w:sz w:val="20"/>
              </w:rPr>
              <w:t>The principal source of funds will arise from the sale of the land holding.  At present no funds are sourced.</w:t>
            </w:r>
          </w:p>
        </w:tc>
      </w:tr>
      <w:tr w:rsidR="004739FE" w:rsidRPr="00C54651" w14:paraId="3A226B2B" w14:textId="77777777" w:rsidTr="003B1FE1">
        <w:tc>
          <w:tcPr>
            <w:tcW w:w="3080" w:type="dxa"/>
          </w:tcPr>
          <w:p w14:paraId="07142337" w14:textId="77777777" w:rsidR="004739FE" w:rsidRPr="00C54651" w:rsidRDefault="004739FE" w:rsidP="006F6805">
            <w:pPr>
              <w:rPr>
                <w:rFonts w:ascii="Arial" w:hAnsi="Arial" w:cs="Arial"/>
              </w:rPr>
            </w:pPr>
            <w:r w:rsidRPr="00C54651">
              <w:rPr>
                <w:rFonts w:ascii="Arial" w:hAnsi="Arial" w:cs="Arial"/>
              </w:rPr>
              <w:t>Investment policy and objectives including any social investment policy adopted</w:t>
            </w:r>
          </w:p>
        </w:tc>
        <w:tc>
          <w:tcPr>
            <w:tcW w:w="1564" w:type="dxa"/>
          </w:tcPr>
          <w:p w14:paraId="2A97A397"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166BA194" w14:textId="77777777" w:rsidR="004739FE" w:rsidRPr="00C54651" w:rsidRDefault="00656C05" w:rsidP="00552EE9">
            <w:pPr>
              <w:rPr>
                <w:rFonts w:ascii="Arial" w:hAnsi="Arial" w:cs="Arial"/>
                <w:b/>
              </w:rPr>
            </w:pPr>
            <w:r>
              <w:rPr>
                <w:rFonts w:cs="Arial"/>
                <w:sz w:val="20"/>
              </w:rPr>
              <w:t>Not applicable at present</w:t>
            </w:r>
          </w:p>
        </w:tc>
      </w:tr>
      <w:tr w:rsidR="004739FE" w:rsidRPr="00C54651" w14:paraId="4314F9DE" w14:textId="77777777" w:rsidTr="003B1FE1">
        <w:tc>
          <w:tcPr>
            <w:tcW w:w="3080" w:type="dxa"/>
          </w:tcPr>
          <w:p w14:paraId="55761BE3" w14:textId="77777777" w:rsidR="004739FE" w:rsidRPr="00C54651" w:rsidRDefault="004739FE" w:rsidP="006F6805">
            <w:pPr>
              <w:rPr>
                <w:rFonts w:ascii="Arial" w:hAnsi="Arial" w:cs="Arial"/>
              </w:rPr>
            </w:pPr>
            <w:r w:rsidRPr="00C54651">
              <w:rPr>
                <w:rFonts w:ascii="Arial" w:hAnsi="Arial" w:cs="Arial"/>
              </w:rPr>
              <w:t xml:space="preserve">A description of the principal risks facing the charity </w:t>
            </w:r>
          </w:p>
        </w:tc>
        <w:tc>
          <w:tcPr>
            <w:tcW w:w="1564" w:type="dxa"/>
          </w:tcPr>
          <w:p w14:paraId="2F18ABBB"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6080FDB9" w14:textId="77777777" w:rsidR="004739FE" w:rsidRPr="00CA48AF" w:rsidRDefault="00CA48AF" w:rsidP="00CA48AF">
            <w:pPr>
              <w:pStyle w:val="ListParagraph"/>
              <w:numPr>
                <w:ilvl w:val="0"/>
                <w:numId w:val="6"/>
              </w:numPr>
              <w:rPr>
                <w:rFonts w:ascii="Arial" w:hAnsi="Arial" w:cs="Arial"/>
                <w:b/>
              </w:rPr>
            </w:pPr>
            <w:r>
              <w:rPr>
                <w:rFonts w:cs="Arial"/>
                <w:sz w:val="20"/>
              </w:rPr>
              <w:t>Non completion of the disposal of land</w:t>
            </w:r>
          </w:p>
          <w:p w14:paraId="4F928569" w14:textId="77777777" w:rsidR="006F6805" w:rsidRPr="00C54651" w:rsidRDefault="00CA48AF" w:rsidP="00CA48AF">
            <w:pPr>
              <w:pStyle w:val="ListParagraph"/>
              <w:numPr>
                <w:ilvl w:val="0"/>
                <w:numId w:val="6"/>
              </w:numPr>
              <w:rPr>
                <w:rFonts w:ascii="Arial" w:hAnsi="Arial" w:cs="Arial"/>
                <w:b/>
              </w:rPr>
            </w:pPr>
            <w:r w:rsidRPr="00CA48AF">
              <w:rPr>
                <w:rFonts w:cs="Arial"/>
                <w:sz w:val="20"/>
              </w:rPr>
              <w:t>Ongoing management of conflicts of interests</w:t>
            </w:r>
          </w:p>
        </w:tc>
      </w:tr>
      <w:tr w:rsidR="00492ED9" w:rsidRPr="00C54651" w14:paraId="5128476B" w14:textId="77777777" w:rsidTr="003B1FE1">
        <w:tc>
          <w:tcPr>
            <w:tcW w:w="3080" w:type="dxa"/>
          </w:tcPr>
          <w:p w14:paraId="16C282A2" w14:textId="77777777" w:rsidR="00492ED9" w:rsidRPr="00C54651" w:rsidRDefault="00492ED9" w:rsidP="006F6805">
            <w:pPr>
              <w:rPr>
                <w:rFonts w:ascii="Arial" w:hAnsi="Arial" w:cs="Arial"/>
              </w:rPr>
            </w:pPr>
            <w:r>
              <w:rPr>
                <w:rFonts w:ascii="Arial" w:hAnsi="Arial" w:cs="Arial"/>
              </w:rPr>
              <w:t>Funds held as custodian trustee on behalf of others</w:t>
            </w:r>
          </w:p>
        </w:tc>
        <w:tc>
          <w:tcPr>
            <w:tcW w:w="1564" w:type="dxa"/>
          </w:tcPr>
          <w:p w14:paraId="3F1A312E" w14:textId="77777777" w:rsidR="00492ED9" w:rsidRPr="00C54651" w:rsidRDefault="00492ED9" w:rsidP="003B1FE1">
            <w:pPr>
              <w:rPr>
                <w:rFonts w:ascii="Arial" w:hAnsi="Arial" w:cs="Arial"/>
                <w:sz w:val="16"/>
                <w:szCs w:val="16"/>
              </w:rPr>
            </w:pPr>
          </w:p>
        </w:tc>
        <w:tc>
          <w:tcPr>
            <w:tcW w:w="4598" w:type="dxa"/>
          </w:tcPr>
          <w:p w14:paraId="6ADD919E" w14:textId="77777777" w:rsidR="00492ED9" w:rsidRPr="00492ED9" w:rsidRDefault="00492ED9" w:rsidP="00492ED9">
            <w:pPr>
              <w:ind w:left="360" w:hanging="331"/>
              <w:rPr>
                <w:rFonts w:cs="Arial"/>
                <w:sz w:val="20"/>
              </w:rPr>
            </w:pPr>
            <w:r>
              <w:rPr>
                <w:rFonts w:cs="Arial"/>
                <w:sz w:val="20"/>
              </w:rPr>
              <w:t>Not applicable</w:t>
            </w:r>
          </w:p>
        </w:tc>
      </w:tr>
    </w:tbl>
    <w:p w14:paraId="1148B8CD" w14:textId="77777777" w:rsidR="004739FE" w:rsidRDefault="004739FE" w:rsidP="00480FAE">
      <w:pPr>
        <w:spacing w:after="0" w:line="240" w:lineRule="auto"/>
        <w:rPr>
          <w:rFonts w:ascii="Arial" w:hAnsi="Arial" w:cs="Arial"/>
        </w:rPr>
      </w:pPr>
    </w:p>
    <w:p w14:paraId="2DE65DA6" w14:textId="77777777" w:rsidR="00DE0DC6" w:rsidRPr="00C54651" w:rsidRDefault="00DE0DC6" w:rsidP="00372A5E">
      <w:pPr>
        <w:spacing w:after="0" w:line="240" w:lineRule="auto"/>
        <w:rPr>
          <w:rFonts w:ascii="Arial" w:hAnsi="Arial" w:cs="Arial"/>
          <w:b/>
          <w:sz w:val="28"/>
          <w:szCs w:val="28"/>
        </w:rPr>
      </w:pPr>
    </w:p>
    <w:p w14:paraId="79A38696" w14:textId="77777777" w:rsidR="00AC068F" w:rsidRDefault="00AC068F" w:rsidP="00AC068F">
      <w:pPr>
        <w:spacing w:after="0" w:line="240" w:lineRule="auto"/>
        <w:rPr>
          <w:rFonts w:ascii="Arial" w:hAnsi="Arial" w:cs="Arial"/>
          <w:sz w:val="16"/>
          <w:szCs w:val="16"/>
          <w:lang w:eastAsia="en-GB"/>
        </w:rPr>
      </w:pPr>
    </w:p>
    <w:p w14:paraId="116F2E2B" w14:textId="77777777" w:rsidR="00DE0DC6" w:rsidRDefault="00DE0DC6" w:rsidP="00DE0DC6">
      <w:pPr>
        <w:spacing w:after="0" w:line="240" w:lineRule="auto"/>
        <w:rPr>
          <w:rFonts w:ascii="Arial" w:hAnsi="Arial" w:cs="Arial"/>
          <w:b/>
          <w:sz w:val="28"/>
          <w:szCs w:val="28"/>
        </w:rPr>
      </w:pPr>
      <w:r w:rsidRPr="00E063C0">
        <w:rPr>
          <w:rFonts w:ascii="Arial" w:hAnsi="Arial" w:cs="Arial"/>
          <w:b/>
          <w:sz w:val="28"/>
          <w:szCs w:val="28"/>
        </w:rPr>
        <w:t>Other optional information</w:t>
      </w:r>
    </w:p>
    <w:p w14:paraId="714ADCE4" w14:textId="77777777" w:rsidR="00492ED9" w:rsidRPr="00E063C0" w:rsidRDefault="00492ED9" w:rsidP="00DE0DC6">
      <w:pPr>
        <w:spacing w:after="0" w:line="240" w:lineRule="auto"/>
        <w:rPr>
          <w:rFonts w:ascii="Arial" w:hAnsi="Arial" w:cs="Arial"/>
          <w:b/>
          <w:sz w:val="28"/>
          <w:szCs w:val="28"/>
        </w:rPr>
      </w:pP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E0DC6" w14:paraId="4E7316E5" w14:textId="77777777" w:rsidTr="00E15249">
        <w:trPr>
          <w:trHeight w:val="1229"/>
        </w:trPr>
        <w:tc>
          <w:tcPr>
            <w:tcW w:w="9615" w:type="dxa"/>
          </w:tcPr>
          <w:p w14:paraId="60091CA6" w14:textId="77777777" w:rsidR="00536225" w:rsidRPr="00B47F3D" w:rsidRDefault="00536225" w:rsidP="00536225">
            <w:pPr>
              <w:rPr>
                <w:rFonts w:cs="Arial"/>
                <w:sz w:val="20"/>
                <w:u w:val="single"/>
              </w:rPr>
            </w:pPr>
            <w:r w:rsidRPr="00B47F3D">
              <w:rPr>
                <w:rFonts w:cs="Arial"/>
                <w:sz w:val="20"/>
                <w:u w:val="single"/>
              </w:rPr>
              <w:t>History</w:t>
            </w:r>
          </w:p>
          <w:p w14:paraId="589CF607" w14:textId="77777777" w:rsidR="00536225" w:rsidRPr="00B47F3D" w:rsidRDefault="00536225" w:rsidP="00536225">
            <w:pPr>
              <w:rPr>
                <w:rFonts w:cs="Arial"/>
                <w:sz w:val="20"/>
              </w:rPr>
            </w:pPr>
            <w:r w:rsidRPr="00B47F3D">
              <w:rPr>
                <w:rFonts w:cs="Arial"/>
                <w:sz w:val="20"/>
              </w:rPr>
              <w:t>As part of the 1856 Enclosure Award, the land was awarded to the Churchwardens and Overseers of the Poor of Pightlesthorne as Allotments for the Labouring Poor.   From as early as 1888, Pitstone Parish Council was administering this allotment site and on 28 December 1923 the Charity Commission approved and established a scheme for the charity to be officially administered by Pitstone Parish Council as trustees of the charity.</w:t>
            </w:r>
          </w:p>
          <w:p w14:paraId="18974FB3" w14:textId="77777777" w:rsidR="00536225" w:rsidRPr="00B47F3D" w:rsidRDefault="00536225" w:rsidP="00536225">
            <w:pPr>
              <w:rPr>
                <w:rFonts w:cs="Arial"/>
                <w:sz w:val="20"/>
              </w:rPr>
            </w:pPr>
            <w:r w:rsidRPr="00B47F3D">
              <w:rPr>
                <w:rFonts w:cs="Arial"/>
                <w:sz w:val="20"/>
              </w:rPr>
              <w:t xml:space="preserve">In 1970, when much of the large site was unused, the Charity Commission granted permission for half of the land “to be used as an addition to the Recreation Ground under revocable licence given by the council to themselves as trustees of the Recreation Ground Charity”.    This land has never since been needed as allotments and continues to be managed under licence by the Recreation Ground Charity.   The Parish Charity charge no annual rent for this land, but receive the benefit-in-kind of all costs associated with the maintenance and care of this land being met by another body.   This section of land currently houses the children’s play equipment owned by Pitstone Parish Council. </w:t>
            </w:r>
          </w:p>
          <w:p w14:paraId="7FD941BE" w14:textId="77777777" w:rsidR="00536225" w:rsidRPr="00B47F3D" w:rsidRDefault="00536225" w:rsidP="00536225">
            <w:pPr>
              <w:rPr>
                <w:rFonts w:cs="Arial"/>
                <w:sz w:val="20"/>
              </w:rPr>
            </w:pPr>
            <w:r w:rsidRPr="00B47F3D">
              <w:rPr>
                <w:rFonts w:cs="Arial"/>
                <w:sz w:val="20"/>
              </w:rPr>
              <w:t>In 2004, as the Castlemead estate was created on the old Castle Cement factory site, the allotment land was identified for potential development to help extend community facilities and join the old and new halves of the village together (along with two parcels of adjoining land in private ownership).    The proposals were adopted by Aylesbury Vale District Council and are contained within the Pitstone Development Area Comprehensive Plan of 2005.   These future plans generated three actions:</w:t>
            </w:r>
          </w:p>
          <w:p w14:paraId="4CBC0D4F" w14:textId="77777777" w:rsidR="00536225" w:rsidRPr="00E44DD1" w:rsidRDefault="00536225" w:rsidP="001E2B61">
            <w:pPr>
              <w:numPr>
                <w:ilvl w:val="0"/>
                <w:numId w:val="7"/>
              </w:numPr>
              <w:spacing w:after="0" w:line="240" w:lineRule="auto"/>
              <w:rPr>
                <w:rFonts w:cs="Arial"/>
                <w:sz w:val="20"/>
              </w:rPr>
            </w:pPr>
            <w:r w:rsidRPr="00E44DD1">
              <w:rPr>
                <w:rFonts w:cs="Arial"/>
                <w:sz w:val="20"/>
              </w:rPr>
              <w:t>Work commenced to find a suitable alternative site within the village for allotments.   Mr Hawkins of Pitstone Green Farm bequeathed a section of land along Marsworth Road, in the heart of the village, to the National Trust on condition that they lease it to Pitstone Parish Council for the provision of allotments.    In 2010, the Parish Council signed a 99 year lease with National Trust for this site and the new allotments were created, funded in part by the parish council and in part by various grants.    The new site is thriving and is managed on a day-to-day basis by the Pitstone Allotment Association, whilst the Parish Council retain overall responsibility.</w:t>
            </w:r>
          </w:p>
          <w:p w14:paraId="65577021" w14:textId="77777777" w:rsidR="00536225" w:rsidRPr="00ED438C" w:rsidRDefault="00536225" w:rsidP="00954961">
            <w:pPr>
              <w:numPr>
                <w:ilvl w:val="0"/>
                <w:numId w:val="7"/>
              </w:numPr>
              <w:spacing w:after="0" w:line="240" w:lineRule="auto"/>
              <w:rPr>
                <w:rFonts w:cs="Arial"/>
                <w:sz w:val="20"/>
              </w:rPr>
            </w:pPr>
            <w:r w:rsidRPr="00ED438C">
              <w:rPr>
                <w:rFonts w:cs="Arial"/>
                <w:sz w:val="20"/>
              </w:rPr>
              <w:t>On 18 March 2004 the Charity Commission accepted an application to update and broaden the scheme away from just “allotments for the labouring poor” and the charity was renamed the Pitstone Parish Charity with the objects redefined as “for the relief of persons resident in the area of benefit who are in need, hardship or distress.”   In this guise, the charity will be able to commence charitable work for the parish once the land is brought to market and the charity has available funds.</w:t>
            </w:r>
          </w:p>
          <w:p w14:paraId="6675996C" w14:textId="77777777" w:rsidR="00536225" w:rsidRPr="00B47F3D" w:rsidRDefault="00536225" w:rsidP="00536225">
            <w:pPr>
              <w:numPr>
                <w:ilvl w:val="0"/>
                <w:numId w:val="7"/>
              </w:numPr>
              <w:spacing w:after="0" w:line="240" w:lineRule="auto"/>
              <w:rPr>
                <w:rFonts w:cs="Arial"/>
                <w:sz w:val="20"/>
              </w:rPr>
            </w:pPr>
            <w:r w:rsidRPr="00B47F3D">
              <w:rPr>
                <w:rFonts w:cs="Arial"/>
                <w:sz w:val="20"/>
              </w:rPr>
              <w:t>In order to prepare the old allotment site for inclusion within any such development, the land first needed to be registered with Land Registry (completed on 10/8/10) and permission needed to be obtained from both the National Association of Allotment and Leisure Gardeners and then the Secretary of State to sell what had originally been appointed as Statutory Allotment Land (granted on 29/2/12 &amp; 30/7/13).</w:t>
            </w:r>
          </w:p>
          <w:p w14:paraId="488BB29B" w14:textId="77777777" w:rsidR="00536225" w:rsidRPr="00B47F3D" w:rsidRDefault="00ED438C" w:rsidP="00536225">
            <w:pPr>
              <w:rPr>
                <w:rFonts w:cs="Arial"/>
                <w:sz w:val="20"/>
              </w:rPr>
            </w:pPr>
            <w:r>
              <w:rPr>
                <w:rFonts w:cs="Arial"/>
                <w:sz w:val="20"/>
              </w:rPr>
              <w:br/>
            </w:r>
            <w:r w:rsidR="00536225" w:rsidRPr="00B47F3D">
              <w:rPr>
                <w:rFonts w:cs="Arial"/>
                <w:sz w:val="20"/>
              </w:rPr>
              <w:lastRenderedPageBreak/>
              <w:t xml:space="preserve">Taylor Wimpey was granted permission to construct the remaining phases of residential development within the Castlemead estate without developing the parcels of land around the recreation ground or including any leisure provision.   Aylesbury Vale District Council (AVDC) agreed that a commuted S106 sum could be paid by Taylor Wimpey instead.   </w:t>
            </w:r>
            <w:r w:rsidR="00842662">
              <w:rPr>
                <w:rFonts w:cs="Arial"/>
                <w:sz w:val="20"/>
              </w:rPr>
              <w:t xml:space="preserve">AVDC </w:t>
            </w:r>
            <w:r w:rsidR="00536225" w:rsidRPr="00B47F3D">
              <w:rPr>
                <w:rFonts w:cs="Arial"/>
                <w:sz w:val="20"/>
              </w:rPr>
              <w:t>stipulated that the land for the leisure development should be provided within the remaining parcels identified within the Comprehensive Plan which are located around the recreation ground (including the land owned by Pitstone Parish Charity).   AVDC now hold these funds on behalf of the parish of Pitstone, providing that the identified leisure requirements can be delivered within a set timeframe.</w:t>
            </w:r>
          </w:p>
          <w:p w14:paraId="324FAD24" w14:textId="77777777" w:rsidR="00536225" w:rsidRDefault="00536225" w:rsidP="00842662">
            <w:pPr>
              <w:spacing w:after="0" w:line="240" w:lineRule="auto"/>
              <w:rPr>
                <w:rFonts w:cs="Arial"/>
                <w:sz w:val="20"/>
              </w:rPr>
            </w:pPr>
            <w:r w:rsidRPr="00EA79DC">
              <w:rPr>
                <w:rFonts w:cs="Arial"/>
                <w:sz w:val="20"/>
              </w:rPr>
              <w:t xml:space="preserve">Pitstone Parish Charity </w:t>
            </w:r>
            <w:r w:rsidR="00842662">
              <w:rPr>
                <w:rFonts w:cs="Arial"/>
                <w:sz w:val="20"/>
              </w:rPr>
              <w:t xml:space="preserve">therefore </w:t>
            </w:r>
            <w:r w:rsidRPr="00EA79DC">
              <w:rPr>
                <w:rFonts w:cs="Arial"/>
                <w:sz w:val="20"/>
              </w:rPr>
              <w:t xml:space="preserve">entered into a Joint Landowners Agreement with the private landowner to ensure a fair and equitable distribution of proceeds and costs, regardless of which parcel of land amenities are built upon.  </w:t>
            </w:r>
            <w:r w:rsidR="00842662">
              <w:rPr>
                <w:rFonts w:cs="Arial"/>
                <w:sz w:val="20"/>
              </w:rPr>
              <w:t xml:space="preserve">  E</w:t>
            </w:r>
            <w:r w:rsidRPr="00B47F3D">
              <w:rPr>
                <w:rFonts w:cs="Arial"/>
                <w:sz w:val="20"/>
              </w:rPr>
              <w:t>mployed the services of Bidwells land agents, to undertake the associated marketing required for the joint landown</w:t>
            </w:r>
            <w:r w:rsidR="00842662">
              <w:rPr>
                <w:rFonts w:cs="Arial"/>
                <w:sz w:val="20"/>
              </w:rPr>
              <w:t xml:space="preserve">ers to support the sale of land, </w:t>
            </w:r>
            <w:r w:rsidRPr="00B47F3D">
              <w:rPr>
                <w:rFonts w:cs="Arial"/>
                <w:sz w:val="20"/>
              </w:rPr>
              <w:t>secured the services of Horwood &amp; James solicitors to advise the charity and ensure the necessary sale conditions are appli</w:t>
            </w:r>
            <w:r w:rsidR="00842662">
              <w:rPr>
                <w:rFonts w:cs="Arial"/>
                <w:sz w:val="20"/>
              </w:rPr>
              <w:t xml:space="preserve">ed and opened a </w:t>
            </w:r>
            <w:r w:rsidRPr="00B47F3D">
              <w:rPr>
                <w:rFonts w:cs="Arial"/>
                <w:sz w:val="20"/>
              </w:rPr>
              <w:t>dedicated bank account was opened for the Parish Charity to receive the funds generated by the sale of the land (zero balance).</w:t>
            </w:r>
          </w:p>
          <w:p w14:paraId="35B206D6" w14:textId="77777777" w:rsidR="00842662" w:rsidRPr="00B47F3D" w:rsidRDefault="00842662" w:rsidP="00842662">
            <w:pPr>
              <w:spacing w:after="0" w:line="240" w:lineRule="auto"/>
              <w:rPr>
                <w:rFonts w:cs="Arial"/>
                <w:sz w:val="20"/>
              </w:rPr>
            </w:pPr>
          </w:p>
          <w:p w14:paraId="09BD0188" w14:textId="77777777" w:rsidR="00536225" w:rsidRDefault="00842662" w:rsidP="00842662">
            <w:pPr>
              <w:rPr>
                <w:rFonts w:cs="Arial"/>
                <w:sz w:val="20"/>
              </w:rPr>
            </w:pPr>
            <w:r>
              <w:rPr>
                <w:rFonts w:cs="Arial"/>
                <w:sz w:val="20"/>
              </w:rPr>
              <w:t>During 2013/14 t</w:t>
            </w:r>
            <w:r w:rsidR="00536225" w:rsidRPr="00B47F3D">
              <w:rPr>
                <w:rFonts w:cs="Arial"/>
                <w:sz w:val="20"/>
              </w:rPr>
              <w:t>he Parish Charity served notice to the Pitstone Recreation Ground Charity of their intention to revoke the licence to manage the section of land.   Until such time as a confirmed date is provided, the Recreation Ground Charity continue to meet all costs and liability connected with this section of land.</w:t>
            </w:r>
            <w:r>
              <w:rPr>
                <w:rFonts w:cs="Arial"/>
                <w:sz w:val="20"/>
              </w:rPr>
              <w:t xml:space="preserve">  </w:t>
            </w:r>
            <w:r w:rsidR="00536225" w:rsidRPr="00B47F3D">
              <w:rPr>
                <w:rFonts w:cs="Arial"/>
                <w:sz w:val="20"/>
              </w:rPr>
              <w:t>The Parish Charity served notice to Pitstone Parish Council of their intention to dispose of the land currently housing their play equipment and requested confirmation from the Parish Council that they would be willing to accept ownership of the land if transferred as part of the Pitstone Development Area arrangements.  The Parish Council confirmed this was acceptable.</w:t>
            </w:r>
            <w:r>
              <w:rPr>
                <w:rFonts w:cs="Arial"/>
                <w:sz w:val="20"/>
              </w:rPr>
              <w:t xml:space="preserve">  </w:t>
            </w:r>
            <w:r w:rsidR="00536225" w:rsidRPr="00B47F3D">
              <w:rPr>
                <w:rFonts w:cs="Arial"/>
                <w:sz w:val="20"/>
              </w:rPr>
              <w:t>The Parish Charity, supported by Bidwells and Horwood &amp; James, submitted an outline plan to The Charity Commission relating to their proposals.   The Charity Commission advised that the entirety of the land owned by the Parish Charity should be disposed on the open market to ensure maximum benefit to the charity.</w:t>
            </w:r>
            <w:r>
              <w:rPr>
                <w:rFonts w:cs="Arial"/>
                <w:sz w:val="20"/>
              </w:rPr>
              <w:t xml:space="preserve">  </w:t>
            </w:r>
            <w:r w:rsidR="00536225" w:rsidRPr="00B47F3D">
              <w:rPr>
                <w:rFonts w:cs="Arial"/>
                <w:sz w:val="20"/>
              </w:rPr>
              <w:t>The Parish Charity employed the services of Kirkby &amp; Diamond land agents to assist with resolving the issues and bringing the land to market.</w:t>
            </w:r>
            <w:r>
              <w:rPr>
                <w:rFonts w:cs="Arial"/>
                <w:sz w:val="20"/>
              </w:rPr>
              <w:t xml:space="preserve">  </w:t>
            </w:r>
            <w:r w:rsidR="00536225" w:rsidRPr="00B47F3D">
              <w:rPr>
                <w:rFonts w:cs="Arial"/>
                <w:sz w:val="20"/>
              </w:rPr>
              <w:t>The Parish Charity resolved on 26/9/13 to withdraw all permissions granted to Pitstone Parish Council relating to the construction of play space or skate park facilities on the parcel of land managed under licence by the Pitstone Recreation Ground Charity.</w:t>
            </w:r>
          </w:p>
          <w:p w14:paraId="32F08451" w14:textId="77777777" w:rsidR="00536225" w:rsidRDefault="00536225" w:rsidP="00842662">
            <w:pPr>
              <w:rPr>
                <w:sz w:val="20"/>
              </w:rPr>
            </w:pPr>
            <w:r w:rsidRPr="00EA1960">
              <w:rPr>
                <w:sz w:val="20"/>
              </w:rPr>
              <w:t>Du</w:t>
            </w:r>
            <w:r w:rsidR="00842662">
              <w:rPr>
                <w:sz w:val="20"/>
              </w:rPr>
              <w:t xml:space="preserve">ring the 2014/15 and despite </w:t>
            </w:r>
            <w:r w:rsidRPr="00EA1960">
              <w:rPr>
                <w:sz w:val="20"/>
              </w:rPr>
              <w:t>lengthy negotiations with the neighbouring landowner it was not possible to include the section of land previously managed under licence within the Joint Landowners Agreement for the Pitstone Development Area.</w:t>
            </w:r>
            <w:r w:rsidR="00842662">
              <w:rPr>
                <w:sz w:val="20"/>
              </w:rPr>
              <w:t xml:space="preserve">  </w:t>
            </w:r>
            <w:r w:rsidRPr="00EA1960">
              <w:rPr>
                <w:sz w:val="20"/>
              </w:rPr>
              <w:t>Therefore, the previous Joint Landowners Agreement (which had expired) was renegotiated based on the ori</w:t>
            </w:r>
            <w:r w:rsidR="00842662">
              <w:rPr>
                <w:sz w:val="20"/>
              </w:rPr>
              <w:t xml:space="preserve">ginally defined parcels of land.  </w:t>
            </w:r>
            <w:r w:rsidRPr="00EA1960">
              <w:rPr>
                <w:sz w:val="20"/>
              </w:rPr>
              <w:t xml:space="preserve">The </w:t>
            </w:r>
            <w:r w:rsidR="00842662">
              <w:rPr>
                <w:sz w:val="20"/>
              </w:rPr>
              <w:t xml:space="preserve">Design </w:t>
            </w:r>
            <w:r w:rsidRPr="00EA1960">
              <w:rPr>
                <w:sz w:val="20"/>
              </w:rPr>
              <w:t>Brief was brought up-to-date and finalised</w:t>
            </w:r>
            <w:r w:rsidR="00842662">
              <w:rPr>
                <w:sz w:val="20"/>
              </w:rPr>
              <w:t xml:space="preserve"> so that it might be used </w:t>
            </w:r>
            <w:r w:rsidRPr="00EA1960">
              <w:rPr>
                <w:sz w:val="20"/>
              </w:rPr>
              <w:t>to supplement the marketing information supplied to developers.   The Design Brief includes details of the latest community engagement events as part of the Pitstone Neighbourhood Development Plan, which confirms the desire of the residents to see the parcel of land owned by the Parish Charity developed and will therefore help to obtain a good sale price.</w:t>
            </w:r>
            <w:r w:rsidR="00842662">
              <w:rPr>
                <w:sz w:val="20"/>
              </w:rPr>
              <w:t xml:space="preserve">  </w:t>
            </w:r>
          </w:p>
          <w:p w14:paraId="5010DCF5" w14:textId="77777777" w:rsidR="00DE0DC6" w:rsidRDefault="00842662" w:rsidP="00842662">
            <w:pPr>
              <w:spacing w:after="0" w:line="240" w:lineRule="auto"/>
              <w:rPr>
                <w:rFonts w:cs="Arial"/>
                <w:sz w:val="20"/>
              </w:rPr>
            </w:pPr>
            <w:r>
              <w:rPr>
                <w:rFonts w:cs="Arial"/>
                <w:sz w:val="20"/>
              </w:rPr>
              <w:t xml:space="preserve">Subsequently the joint parcels </w:t>
            </w:r>
            <w:r w:rsidR="0052203A">
              <w:rPr>
                <w:rFonts w:cs="Arial"/>
                <w:sz w:val="20"/>
              </w:rPr>
              <w:t xml:space="preserve">were </w:t>
            </w:r>
            <w:r>
              <w:rPr>
                <w:rFonts w:cs="Arial"/>
                <w:sz w:val="20"/>
              </w:rPr>
              <w:t>advertised on the open market</w:t>
            </w:r>
            <w:r w:rsidR="0052203A">
              <w:rPr>
                <w:rFonts w:cs="Arial"/>
                <w:sz w:val="20"/>
              </w:rPr>
              <w:t xml:space="preserve"> and p</w:t>
            </w:r>
            <w:r>
              <w:rPr>
                <w:rFonts w:cs="Arial"/>
                <w:sz w:val="20"/>
              </w:rPr>
              <w:t>referred developer selected.  Following receipt of the Section 119 Charities Act report recommending disposal, Heads of Terms have been agreed and contracts entered into.  The joint landowners appointed legal representatation.</w:t>
            </w:r>
            <w:r w:rsidR="00B536FF">
              <w:rPr>
                <w:rFonts w:cs="Arial"/>
                <w:sz w:val="20"/>
              </w:rPr>
              <w:br/>
            </w:r>
          </w:p>
          <w:p w14:paraId="31F9926C" w14:textId="77777777" w:rsidR="0052203A" w:rsidRPr="00B536FF" w:rsidRDefault="0052203A" w:rsidP="00B536FF">
            <w:pPr>
              <w:rPr>
                <w:rFonts w:cs="Calibri"/>
                <w:b/>
                <w:sz w:val="20"/>
                <w:szCs w:val="20"/>
              </w:rPr>
            </w:pPr>
            <w:r>
              <w:rPr>
                <w:rFonts w:cs="Arial"/>
                <w:sz w:val="20"/>
              </w:rPr>
              <w:t>2016/17 saw the developer obtain pre-application advice from the planning authority and hold a public consultation event</w:t>
            </w:r>
            <w:r w:rsidR="00252793">
              <w:rPr>
                <w:rFonts w:cs="Arial"/>
                <w:sz w:val="20"/>
              </w:rPr>
              <w:t xml:space="preserve"> with the subsequent planning applications being submitted in April 2017.</w:t>
            </w:r>
            <w:r w:rsidR="00B536FF">
              <w:rPr>
                <w:rFonts w:cs="Arial"/>
                <w:sz w:val="20"/>
              </w:rPr>
              <w:t xml:space="preserve">    </w:t>
            </w:r>
            <w:r w:rsidR="00B536FF" w:rsidRPr="00A04672">
              <w:rPr>
                <w:rFonts w:cs="Calibri"/>
                <w:sz w:val="20"/>
                <w:szCs w:val="20"/>
              </w:rPr>
              <w:t>Outline planning</w:t>
            </w:r>
            <w:r w:rsidR="00B536FF">
              <w:rPr>
                <w:rFonts w:cs="Calibri"/>
                <w:sz w:val="20"/>
                <w:szCs w:val="20"/>
              </w:rPr>
              <w:t xml:space="preserve"> permission</w:t>
            </w:r>
            <w:r w:rsidR="00B536FF" w:rsidRPr="00A04672">
              <w:rPr>
                <w:rFonts w:cs="Calibri"/>
                <w:sz w:val="20"/>
                <w:szCs w:val="20"/>
              </w:rPr>
              <w:t xml:space="preserve"> was successfully obtained by the developer </w:t>
            </w:r>
            <w:r w:rsidR="00B536FF">
              <w:rPr>
                <w:rFonts w:cs="Calibri"/>
                <w:sz w:val="20"/>
                <w:szCs w:val="20"/>
              </w:rPr>
              <w:t xml:space="preserve">during 2017/18 </w:t>
            </w:r>
            <w:r w:rsidR="00B536FF" w:rsidRPr="00A04672">
              <w:rPr>
                <w:rFonts w:cs="Calibri"/>
                <w:sz w:val="20"/>
                <w:szCs w:val="20"/>
              </w:rPr>
              <w:t>for two parcels of land for commercial developments of a public house and day nursery as required by the conditions contained in the Pitstone Neighbourhood Development plan.</w:t>
            </w:r>
            <w:r w:rsidR="00B536FF">
              <w:rPr>
                <w:rFonts w:cs="Calibri"/>
                <w:sz w:val="20"/>
                <w:szCs w:val="20"/>
              </w:rPr>
              <w:t xml:space="preserve">  The developer intends to market these opportunities upon completion of the sale.</w:t>
            </w:r>
          </w:p>
        </w:tc>
      </w:tr>
    </w:tbl>
    <w:p w14:paraId="30422AFB" w14:textId="77777777" w:rsidR="00A54DA2" w:rsidRDefault="00A54DA2" w:rsidP="00372A5E">
      <w:pPr>
        <w:spacing w:after="0" w:line="240" w:lineRule="auto"/>
        <w:rPr>
          <w:rFonts w:ascii="Arial" w:hAnsi="Arial" w:cs="Arial"/>
          <w:b/>
          <w:sz w:val="28"/>
          <w:szCs w:val="28"/>
          <w:lang w:eastAsia="en-GB"/>
        </w:rPr>
      </w:pPr>
    </w:p>
    <w:p w14:paraId="7577A636" w14:textId="77777777" w:rsidR="00492ED9" w:rsidRDefault="00492ED9">
      <w:pPr>
        <w:rPr>
          <w:rFonts w:ascii="Arial" w:hAnsi="Arial" w:cs="Arial"/>
          <w:b/>
          <w:sz w:val="28"/>
          <w:szCs w:val="28"/>
          <w:lang w:eastAsia="en-GB"/>
        </w:rPr>
      </w:pPr>
      <w:r>
        <w:rPr>
          <w:rFonts w:ascii="Arial" w:hAnsi="Arial" w:cs="Arial"/>
          <w:b/>
          <w:sz w:val="28"/>
          <w:szCs w:val="28"/>
          <w:lang w:eastAsia="en-GB"/>
        </w:rPr>
        <w:br w:type="page"/>
      </w:r>
    </w:p>
    <w:p w14:paraId="0A306D51" w14:textId="77777777" w:rsidR="00372A5E" w:rsidRPr="00E063C0" w:rsidRDefault="00372A5E" w:rsidP="00495827">
      <w:pPr>
        <w:rPr>
          <w:rFonts w:ascii="Arial" w:hAnsi="Arial" w:cs="Arial"/>
          <w:b/>
          <w:sz w:val="28"/>
          <w:szCs w:val="28"/>
          <w:lang w:eastAsia="en-GB"/>
        </w:rPr>
      </w:pPr>
      <w:r w:rsidRPr="00E063C0">
        <w:rPr>
          <w:rFonts w:ascii="Arial" w:hAnsi="Arial" w:cs="Arial"/>
          <w:b/>
          <w:sz w:val="28"/>
          <w:szCs w:val="28"/>
          <w:lang w:eastAsia="en-GB"/>
        </w:rPr>
        <w:lastRenderedPageBreak/>
        <w:t>Declarations</w:t>
      </w:r>
    </w:p>
    <w:p w14:paraId="7EDE6E1A" w14:textId="77777777" w:rsidR="00372A5E" w:rsidRDefault="00372A5E" w:rsidP="00372A5E">
      <w:pPr>
        <w:spacing w:after="0" w:line="240" w:lineRule="auto"/>
        <w:rPr>
          <w:rFonts w:ascii="Arial"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5954"/>
        <w:gridCol w:w="1417"/>
        <w:gridCol w:w="68"/>
        <w:gridCol w:w="380"/>
      </w:tblGrid>
      <w:tr w:rsidR="00372A5E" w:rsidRPr="00372A5E" w14:paraId="08CC3E37" w14:textId="77777777" w:rsidTr="00372A5E">
        <w:trPr>
          <w:gridAfter w:val="1"/>
          <w:wAfter w:w="380" w:type="dxa"/>
          <w:trHeight w:val="400"/>
          <w:jc w:val="center"/>
        </w:trPr>
        <w:tc>
          <w:tcPr>
            <w:tcW w:w="10769" w:type="dxa"/>
            <w:gridSpan w:val="7"/>
            <w:tcBorders>
              <w:top w:val="nil"/>
              <w:left w:val="nil"/>
              <w:bottom w:val="nil"/>
              <w:right w:val="nil"/>
            </w:tcBorders>
          </w:tcPr>
          <w:p w14:paraId="3632C5B2" w14:textId="77777777" w:rsidR="00372A5E" w:rsidRPr="00492ED9" w:rsidRDefault="00372A5E" w:rsidP="00372A5E">
            <w:pPr>
              <w:numPr>
                <w:ilvl w:val="12"/>
                <w:numId w:val="0"/>
              </w:numPr>
              <w:spacing w:after="0" w:line="240" w:lineRule="auto"/>
              <w:rPr>
                <w:rFonts w:ascii="Arial" w:hAnsi="Arial" w:cs="Arial"/>
                <w:szCs w:val="20"/>
                <w:lang w:eastAsia="en-GB"/>
              </w:rPr>
            </w:pPr>
            <w:r w:rsidRPr="00492ED9">
              <w:rPr>
                <w:rFonts w:ascii="Arial" w:hAnsi="Arial" w:cs="Arial"/>
                <w:szCs w:val="20"/>
                <w:lang w:eastAsia="en-GB"/>
              </w:rPr>
              <w:t xml:space="preserve">               The trustees declare that they have approved the trustees’ report above. </w:t>
            </w:r>
          </w:p>
          <w:p w14:paraId="54D70705" w14:textId="77777777" w:rsidR="00372A5E" w:rsidRPr="00492ED9" w:rsidRDefault="00372A5E" w:rsidP="00372A5E">
            <w:pPr>
              <w:spacing w:after="0" w:line="240" w:lineRule="auto"/>
              <w:rPr>
                <w:rFonts w:ascii="Arial" w:hAnsi="Arial" w:cs="Arial"/>
                <w:szCs w:val="20"/>
                <w:lang w:eastAsia="en-GB"/>
              </w:rPr>
            </w:pPr>
          </w:p>
          <w:p w14:paraId="58351DFC" w14:textId="77777777" w:rsidR="00372A5E" w:rsidRPr="00372A5E" w:rsidRDefault="00372A5E" w:rsidP="00372A5E">
            <w:pPr>
              <w:spacing w:after="120" w:line="240" w:lineRule="auto"/>
              <w:rPr>
                <w:rFonts w:ascii="Arial" w:hAnsi="Arial" w:cs="Arial"/>
                <w:b/>
                <w:szCs w:val="20"/>
                <w:lang w:eastAsia="en-GB"/>
              </w:rPr>
            </w:pPr>
            <w:r w:rsidRPr="00492ED9">
              <w:rPr>
                <w:rFonts w:ascii="Arial" w:hAnsi="Arial" w:cs="Arial"/>
                <w:szCs w:val="20"/>
                <w:lang w:eastAsia="en-GB"/>
              </w:rPr>
              <w:t xml:space="preserve">              Signed</w:t>
            </w:r>
            <w:r w:rsidRPr="00492ED9">
              <w:rPr>
                <w:rFonts w:ascii="Arial" w:hAnsi="Arial" w:cs="Arial"/>
                <w:i/>
                <w:szCs w:val="20"/>
                <w:lang w:eastAsia="en-GB"/>
              </w:rPr>
              <w:t xml:space="preserve"> </w:t>
            </w:r>
            <w:r w:rsidRPr="00492ED9">
              <w:rPr>
                <w:rFonts w:ascii="Arial" w:hAnsi="Arial" w:cs="Arial"/>
                <w:szCs w:val="20"/>
                <w:lang w:eastAsia="en-GB"/>
              </w:rPr>
              <w:t>on behalf of the charity’s trustees</w:t>
            </w:r>
            <w:r w:rsidR="00492ED9">
              <w:rPr>
                <w:rFonts w:ascii="Arial" w:hAnsi="Arial" w:cs="Arial"/>
                <w:szCs w:val="20"/>
                <w:lang w:eastAsia="en-GB"/>
              </w:rPr>
              <w:t>:</w:t>
            </w:r>
            <w:r w:rsidR="00492ED9">
              <w:rPr>
                <w:rFonts w:ascii="Arial" w:hAnsi="Arial" w:cs="Arial"/>
                <w:szCs w:val="20"/>
                <w:lang w:eastAsia="en-GB"/>
              </w:rPr>
              <w:br/>
            </w:r>
            <w:r w:rsidR="00492ED9">
              <w:rPr>
                <w:rFonts w:ascii="Arial" w:hAnsi="Arial" w:cs="Arial"/>
                <w:szCs w:val="20"/>
                <w:lang w:eastAsia="en-GB"/>
              </w:rPr>
              <w:br/>
            </w:r>
          </w:p>
        </w:tc>
      </w:tr>
      <w:tr w:rsidR="00492ED9" w:rsidRPr="00372A5E" w14:paraId="608BF403" w14:textId="77777777" w:rsidTr="00492ED9">
        <w:tblPrEx>
          <w:tblCellMar>
            <w:left w:w="56" w:type="dxa"/>
            <w:right w:w="56" w:type="dxa"/>
          </w:tblCellMar>
        </w:tblPrEx>
        <w:trPr>
          <w:gridBefore w:val="3"/>
          <w:gridAfter w:val="3"/>
          <w:wBefore w:w="1038" w:type="dxa"/>
          <w:wAfter w:w="1865" w:type="dxa"/>
          <w:cantSplit/>
          <w:jc w:val="center"/>
        </w:trPr>
        <w:tc>
          <w:tcPr>
            <w:tcW w:w="2292" w:type="dxa"/>
            <w:tcBorders>
              <w:top w:val="nil"/>
              <w:left w:val="nil"/>
              <w:bottom w:val="nil"/>
              <w:right w:val="nil"/>
            </w:tcBorders>
          </w:tcPr>
          <w:p w14:paraId="1E7B8C83" w14:textId="77777777" w:rsidR="00492ED9" w:rsidRPr="00372A5E" w:rsidRDefault="00492ED9"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Signature(s)</w:t>
            </w:r>
          </w:p>
        </w:tc>
        <w:tc>
          <w:tcPr>
            <w:tcW w:w="5954" w:type="dxa"/>
          </w:tcPr>
          <w:p w14:paraId="04CA50D7" w14:textId="77777777" w:rsidR="00492ED9" w:rsidRPr="00372A5E" w:rsidRDefault="00492ED9" w:rsidP="00372A5E">
            <w:pPr>
              <w:numPr>
                <w:ilvl w:val="12"/>
                <w:numId w:val="0"/>
              </w:numPr>
              <w:spacing w:before="120" w:after="120" w:line="240" w:lineRule="auto"/>
              <w:rPr>
                <w:rFonts w:ascii="Arial" w:hAnsi="Arial" w:cs="Arial"/>
                <w:szCs w:val="20"/>
                <w:lang w:eastAsia="en-GB"/>
              </w:rPr>
            </w:pPr>
          </w:p>
        </w:tc>
      </w:tr>
      <w:tr w:rsidR="00492ED9" w:rsidRPr="00372A5E" w14:paraId="2028E908" w14:textId="77777777" w:rsidTr="00492ED9">
        <w:tblPrEx>
          <w:tblCellMar>
            <w:left w:w="56" w:type="dxa"/>
            <w:right w:w="56" w:type="dxa"/>
          </w:tblCellMar>
        </w:tblPrEx>
        <w:trPr>
          <w:gridBefore w:val="3"/>
          <w:gridAfter w:val="3"/>
          <w:wBefore w:w="1038" w:type="dxa"/>
          <w:wAfter w:w="1865" w:type="dxa"/>
          <w:cantSplit/>
          <w:jc w:val="center"/>
        </w:trPr>
        <w:tc>
          <w:tcPr>
            <w:tcW w:w="2292" w:type="dxa"/>
            <w:tcBorders>
              <w:top w:val="nil"/>
              <w:left w:val="nil"/>
              <w:bottom w:val="nil"/>
              <w:right w:val="nil"/>
            </w:tcBorders>
          </w:tcPr>
          <w:p w14:paraId="741D01DC" w14:textId="77777777" w:rsidR="00492ED9" w:rsidRPr="00372A5E" w:rsidRDefault="00492ED9"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Full name(s)</w:t>
            </w:r>
          </w:p>
        </w:tc>
        <w:tc>
          <w:tcPr>
            <w:tcW w:w="5954" w:type="dxa"/>
            <w:tcBorders>
              <w:top w:val="single" w:sz="4" w:space="0" w:color="auto"/>
              <w:left w:val="single" w:sz="4" w:space="0" w:color="auto"/>
              <w:right w:val="single" w:sz="4" w:space="0" w:color="auto"/>
            </w:tcBorders>
          </w:tcPr>
          <w:p w14:paraId="17DD4EE8" w14:textId="77777777" w:rsidR="00492ED9" w:rsidRPr="00372A5E" w:rsidRDefault="00492ED9" w:rsidP="00372A5E">
            <w:pPr>
              <w:numPr>
                <w:ilvl w:val="12"/>
                <w:numId w:val="0"/>
              </w:numPr>
              <w:spacing w:before="120" w:after="120" w:line="240" w:lineRule="auto"/>
              <w:rPr>
                <w:rFonts w:ascii="Arial" w:hAnsi="Arial" w:cs="Arial"/>
                <w:szCs w:val="20"/>
                <w:lang w:eastAsia="en-GB"/>
              </w:rPr>
            </w:pPr>
          </w:p>
        </w:tc>
      </w:tr>
      <w:tr w:rsidR="00492ED9" w:rsidRPr="00372A5E" w14:paraId="3720DA32" w14:textId="77777777" w:rsidTr="00492ED9">
        <w:tblPrEx>
          <w:tblCellMar>
            <w:left w:w="56" w:type="dxa"/>
            <w:right w:w="56" w:type="dxa"/>
          </w:tblCellMar>
        </w:tblPrEx>
        <w:trPr>
          <w:gridBefore w:val="1"/>
          <w:gridAfter w:val="3"/>
          <w:wBefore w:w="313" w:type="dxa"/>
          <w:wAfter w:w="1865" w:type="dxa"/>
          <w:cantSplit/>
          <w:jc w:val="center"/>
        </w:trPr>
        <w:tc>
          <w:tcPr>
            <w:tcW w:w="3017" w:type="dxa"/>
            <w:gridSpan w:val="3"/>
            <w:tcBorders>
              <w:top w:val="nil"/>
              <w:left w:val="nil"/>
              <w:bottom w:val="nil"/>
              <w:right w:val="nil"/>
            </w:tcBorders>
          </w:tcPr>
          <w:p w14:paraId="5C80AE13" w14:textId="77777777" w:rsidR="00492ED9" w:rsidRPr="00372A5E" w:rsidRDefault="00492ED9" w:rsidP="00372A5E">
            <w:pPr>
              <w:numPr>
                <w:ilvl w:val="12"/>
                <w:numId w:val="0"/>
              </w:numPr>
              <w:spacing w:after="0" w:line="240" w:lineRule="auto"/>
              <w:jc w:val="right"/>
              <w:rPr>
                <w:rFonts w:ascii="Arial" w:hAnsi="Arial" w:cs="Arial"/>
                <w:b/>
                <w:szCs w:val="20"/>
                <w:lang w:eastAsia="en-GB"/>
              </w:rPr>
            </w:pPr>
            <w:r>
              <w:rPr>
                <w:rFonts w:ascii="Arial" w:hAnsi="Arial" w:cs="Arial"/>
                <w:b/>
                <w:szCs w:val="20"/>
                <w:lang w:eastAsia="en-GB"/>
              </w:rPr>
              <w:t xml:space="preserve">    </w:t>
            </w:r>
            <w:r w:rsidRPr="00372A5E">
              <w:rPr>
                <w:rFonts w:ascii="Arial" w:hAnsi="Arial" w:cs="Arial"/>
                <w:b/>
                <w:szCs w:val="20"/>
                <w:lang w:eastAsia="en-GB"/>
              </w:rPr>
              <w:t>Position (eg Chair)</w:t>
            </w:r>
          </w:p>
        </w:tc>
        <w:tc>
          <w:tcPr>
            <w:tcW w:w="5954" w:type="dxa"/>
            <w:tcBorders>
              <w:top w:val="single" w:sz="4" w:space="0" w:color="000000"/>
              <w:left w:val="single" w:sz="4" w:space="0" w:color="000000"/>
              <w:bottom w:val="single" w:sz="4" w:space="0" w:color="000000"/>
              <w:right w:val="single" w:sz="4" w:space="0" w:color="auto"/>
            </w:tcBorders>
          </w:tcPr>
          <w:p w14:paraId="4FA2E465" w14:textId="77777777" w:rsidR="00492ED9" w:rsidRPr="00372A5E" w:rsidRDefault="00492ED9" w:rsidP="00372A5E">
            <w:pPr>
              <w:numPr>
                <w:ilvl w:val="12"/>
                <w:numId w:val="0"/>
              </w:numPr>
              <w:spacing w:after="0" w:line="240" w:lineRule="auto"/>
              <w:rPr>
                <w:rFonts w:ascii="Arial" w:hAnsi="Arial" w:cs="Arial"/>
                <w:szCs w:val="20"/>
                <w:lang w:eastAsia="en-GB"/>
              </w:rPr>
            </w:pPr>
            <w:r>
              <w:rPr>
                <w:rFonts w:ascii="Arial" w:hAnsi="Arial" w:cs="Arial"/>
                <w:szCs w:val="20"/>
                <w:lang w:eastAsia="en-GB"/>
              </w:rPr>
              <w:br/>
            </w:r>
          </w:p>
        </w:tc>
      </w:tr>
      <w:tr w:rsidR="00372A5E" w:rsidRPr="00372A5E" w14:paraId="27800B8D" w14:textId="77777777" w:rsidTr="00A54DA2">
        <w:tblPrEx>
          <w:tblCellMar>
            <w:left w:w="56" w:type="dxa"/>
            <w:right w:w="56" w:type="dxa"/>
          </w:tblCellMar>
        </w:tblPrEx>
        <w:trPr>
          <w:gridBefore w:val="1"/>
          <w:gridAfter w:val="2"/>
          <w:wBefore w:w="313" w:type="dxa"/>
          <w:wAfter w:w="448" w:type="dxa"/>
          <w:cantSplit/>
          <w:jc w:val="center"/>
        </w:trPr>
        <w:tc>
          <w:tcPr>
            <w:tcW w:w="10388" w:type="dxa"/>
            <w:gridSpan w:val="5"/>
            <w:tcBorders>
              <w:top w:val="nil"/>
              <w:left w:val="nil"/>
              <w:bottom w:val="nil"/>
              <w:right w:val="nil"/>
            </w:tcBorders>
          </w:tcPr>
          <w:p w14:paraId="025F9266" w14:textId="77777777" w:rsidR="00372A5E" w:rsidRPr="00372A5E" w:rsidRDefault="00372A5E" w:rsidP="00372A5E">
            <w:pPr>
              <w:spacing w:after="0" w:line="240" w:lineRule="auto"/>
              <w:rPr>
                <w:rFonts w:ascii="Arial" w:hAnsi="Arial" w:cs="Arial"/>
                <w:sz w:val="16"/>
                <w:szCs w:val="20"/>
                <w:lang w:eastAsia="en-GB"/>
              </w:rPr>
            </w:pPr>
          </w:p>
        </w:tc>
      </w:tr>
      <w:tr w:rsidR="00372A5E" w:rsidRPr="00372A5E" w14:paraId="320695C2" w14:textId="77777777" w:rsidTr="00492ED9">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14:paraId="7647F86A" w14:textId="77777777" w:rsidR="00372A5E" w:rsidRPr="00372A5E" w:rsidRDefault="00372A5E" w:rsidP="00372A5E">
            <w:pPr>
              <w:numPr>
                <w:ilvl w:val="12"/>
                <w:numId w:val="0"/>
              </w:numPr>
              <w:spacing w:after="0" w:line="240" w:lineRule="auto"/>
              <w:jc w:val="right"/>
              <w:rPr>
                <w:rFonts w:ascii="Arial" w:hAnsi="Arial" w:cs="Arial"/>
                <w:b/>
                <w:szCs w:val="20"/>
                <w:lang w:eastAsia="en-GB"/>
              </w:rPr>
            </w:pPr>
            <w:r w:rsidRPr="00372A5E">
              <w:rPr>
                <w:rFonts w:ascii="Arial" w:hAnsi="Arial" w:cs="Arial"/>
                <w:b/>
                <w:szCs w:val="20"/>
                <w:lang w:eastAsia="en-GB"/>
              </w:rPr>
              <w:t>Date</w:t>
            </w:r>
            <w:r w:rsidRPr="00372A5E">
              <w:rPr>
                <w:rFonts w:ascii="Arial" w:hAnsi="Arial" w:cs="Arial"/>
                <w:szCs w:val="20"/>
                <w:lang w:eastAsia="en-GB"/>
              </w:rPr>
              <w:t xml:space="preserve"> </w:t>
            </w:r>
          </w:p>
        </w:tc>
        <w:tc>
          <w:tcPr>
            <w:tcW w:w="5954" w:type="dxa"/>
            <w:tcBorders>
              <w:right w:val="single" w:sz="4" w:space="0" w:color="000000"/>
            </w:tcBorders>
            <w:vAlign w:val="center"/>
          </w:tcPr>
          <w:p w14:paraId="4211E355" w14:textId="77777777" w:rsidR="00372A5E" w:rsidRPr="00372A5E" w:rsidRDefault="00372A5E" w:rsidP="00372A5E">
            <w:pPr>
              <w:numPr>
                <w:ilvl w:val="12"/>
                <w:numId w:val="0"/>
              </w:numPr>
              <w:spacing w:after="0" w:line="240" w:lineRule="auto"/>
              <w:rPr>
                <w:rFonts w:ascii="Arial" w:hAnsi="Arial" w:cs="Arial"/>
                <w:szCs w:val="20"/>
                <w:lang w:eastAsia="en-GB"/>
              </w:rPr>
            </w:pPr>
          </w:p>
        </w:tc>
        <w:tc>
          <w:tcPr>
            <w:tcW w:w="1865" w:type="dxa"/>
            <w:gridSpan w:val="3"/>
            <w:tcBorders>
              <w:top w:val="nil"/>
              <w:left w:val="nil"/>
              <w:bottom w:val="nil"/>
              <w:right w:val="nil"/>
            </w:tcBorders>
          </w:tcPr>
          <w:p w14:paraId="434B1237" w14:textId="77777777" w:rsidR="00372A5E" w:rsidRPr="00372A5E" w:rsidRDefault="00372A5E" w:rsidP="00372A5E">
            <w:pPr>
              <w:numPr>
                <w:ilvl w:val="12"/>
                <w:numId w:val="0"/>
              </w:numPr>
              <w:spacing w:after="0" w:line="240" w:lineRule="auto"/>
              <w:jc w:val="center"/>
              <w:rPr>
                <w:rFonts w:ascii="Arial" w:hAnsi="Arial" w:cs="Arial"/>
                <w:szCs w:val="20"/>
                <w:lang w:eastAsia="en-GB"/>
              </w:rPr>
            </w:pPr>
          </w:p>
        </w:tc>
      </w:tr>
    </w:tbl>
    <w:p w14:paraId="41ABFBC8" w14:textId="77777777" w:rsidR="00372A5E" w:rsidRPr="00372A5E" w:rsidRDefault="00372A5E" w:rsidP="00372A5E">
      <w:pPr>
        <w:spacing w:after="0" w:line="240" w:lineRule="auto"/>
        <w:rPr>
          <w:rFonts w:ascii="Arial" w:hAnsi="Arial" w:cs="Arial"/>
          <w:sz w:val="12"/>
          <w:szCs w:val="12"/>
          <w:lang w:eastAsia="en-GB"/>
        </w:rPr>
      </w:pPr>
    </w:p>
    <w:p w14:paraId="7DE70C5B" w14:textId="77777777" w:rsidR="00A04672" w:rsidRPr="00480FAE" w:rsidRDefault="00A04672" w:rsidP="00480FAE"/>
    <w:sectPr w:rsidR="00A04672" w:rsidRPr="00480FAE" w:rsidSect="00A54DA2">
      <w:headerReference w:type="even" r:id="rId9"/>
      <w:headerReference w:type="default" r:id="rId10"/>
      <w:footerReference w:type="even" r:id="rId11"/>
      <w:footerReference w:type="default" r:id="rId12"/>
      <w:headerReference w:type="first" r:id="rId13"/>
      <w:footerReference w:type="first" r:id="rId14"/>
      <w:pgSz w:w="11906" w:h="16838" w:code="9"/>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376F" w14:textId="77777777" w:rsidR="008357FA" w:rsidRDefault="008357FA" w:rsidP="00495827">
      <w:pPr>
        <w:spacing w:after="0" w:line="240" w:lineRule="auto"/>
      </w:pPr>
      <w:r>
        <w:separator/>
      </w:r>
    </w:p>
  </w:endnote>
  <w:endnote w:type="continuationSeparator" w:id="0">
    <w:p w14:paraId="7532BC96" w14:textId="77777777" w:rsidR="008357FA" w:rsidRDefault="008357FA" w:rsidP="0049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A90E" w14:textId="77777777" w:rsidR="00495827" w:rsidRDefault="0049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AF5D" w14:textId="77777777" w:rsidR="00495827" w:rsidRDefault="00495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34D7" w14:textId="77777777" w:rsidR="00495827" w:rsidRDefault="0049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AAEF" w14:textId="77777777" w:rsidR="008357FA" w:rsidRDefault="008357FA" w:rsidP="00495827">
      <w:pPr>
        <w:spacing w:after="0" w:line="240" w:lineRule="auto"/>
      </w:pPr>
      <w:r>
        <w:separator/>
      </w:r>
    </w:p>
  </w:footnote>
  <w:footnote w:type="continuationSeparator" w:id="0">
    <w:p w14:paraId="158B4F82" w14:textId="77777777" w:rsidR="008357FA" w:rsidRDefault="008357FA" w:rsidP="0049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A32F" w14:textId="77777777" w:rsidR="00495827" w:rsidRDefault="0049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D1DE" w14:textId="77777777" w:rsidR="00495827" w:rsidRDefault="00495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B546" w14:textId="77777777" w:rsidR="00495827" w:rsidRDefault="0049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A0B91"/>
    <w:multiLevelType w:val="hybridMultilevel"/>
    <w:tmpl w:val="B1F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36CB2"/>
    <w:multiLevelType w:val="hybridMultilevel"/>
    <w:tmpl w:val="741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E0724"/>
    <w:multiLevelType w:val="hybridMultilevel"/>
    <w:tmpl w:val="33E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80494"/>
    <w:multiLevelType w:val="hybridMultilevel"/>
    <w:tmpl w:val="761E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80FAE"/>
    <w:rsid w:val="000118C2"/>
    <w:rsid w:val="00030F7A"/>
    <w:rsid w:val="000635AC"/>
    <w:rsid w:val="000D140D"/>
    <w:rsid w:val="000E4475"/>
    <w:rsid w:val="00181B01"/>
    <w:rsid w:val="001C0B6F"/>
    <w:rsid w:val="001C7745"/>
    <w:rsid w:val="001D61D4"/>
    <w:rsid w:val="001E2B61"/>
    <w:rsid w:val="001F09E3"/>
    <w:rsid w:val="00201AD2"/>
    <w:rsid w:val="00252793"/>
    <w:rsid w:val="00253D1E"/>
    <w:rsid w:val="00260163"/>
    <w:rsid w:val="00264CD7"/>
    <w:rsid w:val="00292625"/>
    <w:rsid w:val="002A2D17"/>
    <w:rsid w:val="002D5F4F"/>
    <w:rsid w:val="002D7498"/>
    <w:rsid w:val="002E514D"/>
    <w:rsid w:val="002F3C82"/>
    <w:rsid w:val="003123D8"/>
    <w:rsid w:val="00372A5E"/>
    <w:rsid w:val="003B1FE1"/>
    <w:rsid w:val="004044E5"/>
    <w:rsid w:val="00423A22"/>
    <w:rsid w:val="00432942"/>
    <w:rsid w:val="004739FE"/>
    <w:rsid w:val="00480FAE"/>
    <w:rsid w:val="00492ED9"/>
    <w:rsid w:val="00495827"/>
    <w:rsid w:val="004D1F11"/>
    <w:rsid w:val="004F6A4B"/>
    <w:rsid w:val="0052203A"/>
    <w:rsid w:val="0052437C"/>
    <w:rsid w:val="00536225"/>
    <w:rsid w:val="00540BAE"/>
    <w:rsid w:val="00552EE9"/>
    <w:rsid w:val="005810B8"/>
    <w:rsid w:val="005944B2"/>
    <w:rsid w:val="005C4F37"/>
    <w:rsid w:val="005E1074"/>
    <w:rsid w:val="005E3F5D"/>
    <w:rsid w:val="005E43D8"/>
    <w:rsid w:val="00656C05"/>
    <w:rsid w:val="00657F07"/>
    <w:rsid w:val="00674B5C"/>
    <w:rsid w:val="00681A46"/>
    <w:rsid w:val="006A4AEE"/>
    <w:rsid w:val="006D75F4"/>
    <w:rsid w:val="006E701B"/>
    <w:rsid w:val="006F4273"/>
    <w:rsid w:val="006F6805"/>
    <w:rsid w:val="00733774"/>
    <w:rsid w:val="0075205B"/>
    <w:rsid w:val="00757B3B"/>
    <w:rsid w:val="00771514"/>
    <w:rsid w:val="0079180A"/>
    <w:rsid w:val="007D520B"/>
    <w:rsid w:val="007F01C5"/>
    <w:rsid w:val="008357FA"/>
    <w:rsid w:val="00842662"/>
    <w:rsid w:val="00847B18"/>
    <w:rsid w:val="008528F6"/>
    <w:rsid w:val="008822A2"/>
    <w:rsid w:val="0088538F"/>
    <w:rsid w:val="00954961"/>
    <w:rsid w:val="00957497"/>
    <w:rsid w:val="00974C0D"/>
    <w:rsid w:val="00987323"/>
    <w:rsid w:val="009874EB"/>
    <w:rsid w:val="00987967"/>
    <w:rsid w:val="009B7532"/>
    <w:rsid w:val="009C3A36"/>
    <w:rsid w:val="00A01A12"/>
    <w:rsid w:val="00A04672"/>
    <w:rsid w:val="00A0768B"/>
    <w:rsid w:val="00A54DA2"/>
    <w:rsid w:val="00A71466"/>
    <w:rsid w:val="00A8188A"/>
    <w:rsid w:val="00A836DC"/>
    <w:rsid w:val="00AC068F"/>
    <w:rsid w:val="00AC1F36"/>
    <w:rsid w:val="00AC67CD"/>
    <w:rsid w:val="00B11710"/>
    <w:rsid w:val="00B27A7F"/>
    <w:rsid w:val="00B47F3D"/>
    <w:rsid w:val="00B50803"/>
    <w:rsid w:val="00B536FF"/>
    <w:rsid w:val="00B7540B"/>
    <w:rsid w:val="00C34B06"/>
    <w:rsid w:val="00C54651"/>
    <w:rsid w:val="00C90E2F"/>
    <w:rsid w:val="00CA48AF"/>
    <w:rsid w:val="00CB0327"/>
    <w:rsid w:val="00CB1352"/>
    <w:rsid w:val="00CD7B3C"/>
    <w:rsid w:val="00D2091F"/>
    <w:rsid w:val="00D222A0"/>
    <w:rsid w:val="00DE0219"/>
    <w:rsid w:val="00DE0DC6"/>
    <w:rsid w:val="00E063C0"/>
    <w:rsid w:val="00E15249"/>
    <w:rsid w:val="00E31FDE"/>
    <w:rsid w:val="00E423DC"/>
    <w:rsid w:val="00E44DD1"/>
    <w:rsid w:val="00E54621"/>
    <w:rsid w:val="00EA1960"/>
    <w:rsid w:val="00EA79DC"/>
    <w:rsid w:val="00EC3C36"/>
    <w:rsid w:val="00ED438C"/>
    <w:rsid w:val="00F40BC7"/>
    <w:rsid w:val="00F56F72"/>
    <w:rsid w:val="00F7562B"/>
    <w:rsid w:val="00F75F0C"/>
    <w:rsid w:val="00FB531B"/>
    <w:rsid w:val="00FC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0CC70"/>
  <w14:defaultImageDpi w14:val="0"/>
  <w15:docId w15:val="{4F582D91-2B2A-4C0D-81C2-3CAB0B9B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FA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rFonts w:cs="Times New Roman"/>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36D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locked/>
    <w:rsid w:val="00A836DC"/>
    <w:rPr>
      <w:rFonts w:cs="Times New Roman"/>
      <w:b/>
      <w:bCs/>
      <w:sz w:val="20"/>
      <w:szCs w:val="20"/>
    </w:rPr>
  </w:style>
  <w:style w:type="paragraph" w:styleId="Header">
    <w:name w:val="header"/>
    <w:basedOn w:val="Normal"/>
    <w:link w:val="HeaderChar"/>
    <w:uiPriority w:val="99"/>
    <w:unhideWhenUsed/>
    <w:rsid w:val="004958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5827"/>
    <w:rPr>
      <w:rFonts w:cs="Times New Roman"/>
    </w:rPr>
  </w:style>
  <w:style w:type="paragraph" w:styleId="Footer">
    <w:name w:val="footer"/>
    <w:basedOn w:val="Normal"/>
    <w:link w:val="FooterChar"/>
    <w:uiPriority w:val="99"/>
    <w:unhideWhenUsed/>
    <w:rsid w:val="004958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58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D307-5D50-49A6-9EC4-DA87B622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ODwyer, Deirdre - Charity Commission</dc:creator>
  <cp:keywords/>
  <dc:description/>
  <cp:lastModifiedBy>Laurie Eagling</cp:lastModifiedBy>
  <cp:revision>2</cp:revision>
  <cp:lastPrinted>2015-06-15T12:42:00Z</cp:lastPrinted>
  <dcterms:created xsi:type="dcterms:W3CDTF">2019-09-06T10:16:00Z</dcterms:created>
  <dcterms:modified xsi:type="dcterms:W3CDTF">2019-09-06T10:16:00Z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2016-07-19T23:00:00Z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2016-07-19T23:00:00Z</vt:filetime>
  </property>
  <property fmtid="{D5CDD505-2E9C-101B-9397-08002B2CF9AE}" pid="10" name="Objective-ModificationStamp">
    <vt:filetime>2016-07-19T23:00:00Z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